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93A61">
      <w:pPr>
        <w:spacing w:line="360" w:lineRule="auto"/>
        <w:rPr>
          <w:rFonts w:hint="eastAsia" w:ascii="仿宋" w:hAnsi="仿宋" w:eastAsia="仿宋" w:cs="宋体"/>
          <w:b/>
          <w:kern w:val="2"/>
          <w:sz w:val="24"/>
          <w:szCs w:val="24"/>
        </w:rPr>
      </w:pPr>
      <w:r>
        <w:rPr>
          <w:rFonts w:hint="eastAsia" w:ascii="仿宋" w:hAnsi="仿宋" w:eastAsia="仿宋" w:cs="宋体"/>
          <w:b/>
          <w:kern w:val="2"/>
          <w:sz w:val="24"/>
          <w:szCs w:val="24"/>
        </w:rPr>
        <w:t>附件1</w:t>
      </w:r>
    </w:p>
    <w:p w14:paraId="7CD14AE4">
      <w:pPr>
        <w:spacing w:before="100" w:beforeAutospacing="1" w:after="100" w:afterAutospacing="1" w:line="360" w:lineRule="auto"/>
        <w:contextualSpacing/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第一届“泛雅杯”全国高校智慧课程设计大赛章程</w:t>
      </w:r>
    </w:p>
    <w:p w14:paraId="47C7F0AD">
      <w:pPr>
        <w:spacing w:before="100" w:beforeAutospacing="1" w:after="100" w:afterAutospacing="1" w:line="360" w:lineRule="auto"/>
        <w:ind w:firstLine="482" w:firstLineChars="200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bookmarkStart w:id="1" w:name="_GoBack"/>
      <w:bookmarkEnd w:id="1"/>
    </w:p>
    <w:p w14:paraId="32CA7423">
      <w:pPr>
        <w:spacing w:before="100" w:beforeAutospacing="1" w:after="100" w:afterAutospacing="1" w:line="360" w:lineRule="auto"/>
        <w:ind w:firstLine="482" w:firstLineChars="200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一、大赛简介</w:t>
      </w:r>
    </w:p>
    <w:p w14:paraId="1BD63B22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为贯彻落实</w:t>
      </w:r>
      <w:r>
        <w:rPr>
          <w:rFonts w:ascii="仿宋" w:hAnsi="仿宋" w:eastAsia="仿宋"/>
          <w:sz w:val="24"/>
          <w:szCs w:val="24"/>
        </w:rPr>
        <w:t>科教兴国战略、创新驱动发展战略</w:t>
      </w:r>
      <w:r>
        <w:rPr>
          <w:rFonts w:hint="eastAsia" w:ascii="仿宋" w:hAnsi="仿宋" w:eastAsia="仿宋"/>
          <w:sz w:val="24"/>
          <w:szCs w:val="24"/>
        </w:rPr>
        <w:t>、教育数字化转型战略，推进新质生产力发展；引导高校育人理念由“学知识”向“强能力”转变，教学模式由“师生交互”向“师/生/机”深度交互转变，学生学习由“被动学习”向“自主学习”转变，评价由“结果评价”向“多元评价”转变，塑造“人工智能+”高等教育新生态，进而实现教育数字化转型，经研究决定，特举办第一届“泛雅杯”全国高校智慧课程设计大</w:t>
      </w:r>
      <w:r>
        <w:rPr>
          <w:rFonts w:ascii="仿宋" w:hAnsi="仿宋" w:eastAsia="仿宋"/>
          <w:sz w:val="24"/>
          <w:szCs w:val="24"/>
        </w:rPr>
        <w:t>赛</w:t>
      </w:r>
      <w:r>
        <w:rPr>
          <w:rFonts w:hint="eastAsia" w:ascii="仿宋" w:hAnsi="仿宋" w:eastAsia="仿宋"/>
          <w:sz w:val="24"/>
          <w:szCs w:val="24"/>
        </w:rPr>
        <w:t>。</w:t>
      </w:r>
      <w:r>
        <w:rPr>
          <w:rFonts w:ascii="仿宋" w:hAnsi="仿宋" w:eastAsia="仿宋"/>
          <w:sz w:val="24"/>
          <w:szCs w:val="24"/>
        </w:rPr>
        <w:t>本届大赛由</w:t>
      </w:r>
      <w:r>
        <w:rPr>
          <w:rFonts w:hint="eastAsia" w:ascii="仿宋" w:hAnsi="仿宋" w:eastAsia="仿宋"/>
          <w:sz w:val="24"/>
          <w:szCs w:val="24"/>
        </w:rPr>
        <w:t>混合式教学创新者联盟、超星泛雅集团</w:t>
      </w:r>
      <w:r>
        <w:rPr>
          <w:rFonts w:ascii="仿宋" w:hAnsi="仿宋" w:eastAsia="仿宋"/>
          <w:sz w:val="24"/>
          <w:szCs w:val="24"/>
        </w:rPr>
        <w:t>主办</w:t>
      </w:r>
      <w:r>
        <w:rPr>
          <w:rFonts w:hint="eastAsia" w:ascii="仿宋" w:hAnsi="仿宋" w:eastAsia="仿宋"/>
          <w:sz w:val="24"/>
          <w:szCs w:val="24"/>
        </w:rPr>
        <w:t>，华东师范大学、</w:t>
      </w:r>
      <w:r>
        <w:rPr>
          <w:rFonts w:hint="eastAsia" w:ascii="仿宋" w:hAnsi="仿宋" w:eastAsia="仿宋"/>
          <w:color w:val="auto"/>
          <w:sz w:val="24"/>
          <w:szCs w:val="24"/>
        </w:rPr>
        <w:t>山东大学、中南大学、大连理工大学、重庆大学、兰州大学、西安电子科技大学、武汉理工大学、东北大学、吉林大学、东北师范大学、西南交通大学、广西大学、贵州大学、宁夏大学、青海大学、云南师范大学、内蒙古大学、新疆高校在线教育联盟等联合主办。</w:t>
      </w:r>
    </w:p>
    <w:p w14:paraId="04A747B8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智慧课程，即秉承“以人为中心”、“以学生为中心”的理念，系统融合了生成式人工智能、大数据等前沿信息技术，基于在线学习平台、AI工具、智慧教室及必要的教学资源与支持，开展深度混合式学习设计，基于数据（评价）持续进行优化迭代的一种创新型课程。课程坚持以人为本，注重人文与科技的融合，可考虑学生情感、动机的变化，比如设计一条“情感线”。</w:t>
      </w:r>
    </w:p>
    <w:p w14:paraId="20771272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大赛以“推动教育数字化转型升级，培养面向未来新质人才”为宗旨，旨在通过比赛，全面提升教师数字素养，形成智慧教学设计与实施的理念及能力，引导教师将AI深度融入课程创新，推动数字化转型。</w:t>
      </w:r>
    </w:p>
    <w:p w14:paraId="130B6686">
      <w:pPr>
        <w:spacing w:before="100" w:beforeAutospacing="1" w:after="100" w:afterAutospacing="1" w:line="360" w:lineRule="auto"/>
        <w:ind w:firstLine="482" w:firstLineChars="200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 xml:space="preserve">二、参赛对象 </w:t>
      </w:r>
    </w:p>
    <w:p w14:paraId="3768E49E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国内高校承担课程教学的专任教师，近两年主讲参赛课程，并具有基于智慧课程理念进行数字化教学设计与实施的实践经验。</w:t>
      </w:r>
    </w:p>
    <w:p w14:paraId="4E17553E">
      <w:pPr>
        <w:spacing w:before="100" w:beforeAutospacing="1" w:after="100" w:afterAutospacing="1" w:line="360" w:lineRule="auto"/>
        <w:ind w:firstLine="482" w:firstLineChars="200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</w:t>
      </w:r>
      <w:r>
        <w:rPr>
          <w:rFonts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大</w:t>
      </w:r>
      <w:r>
        <w:rPr>
          <w:rFonts w:ascii="仿宋" w:hAnsi="仿宋" w:eastAsia="仿宋"/>
          <w:b/>
          <w:bCs/>
          <w:sz w:val="24"/>
          <w:szCs w:val="24"/>
        </w:rPr>
        <w:t>赛内容及要求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</w:p>
    <w:p w14:paraId="702E0F2D">
      <w:pPr>
        <w:spacing w:before="100" w:beforeAutospacing="1" w:after="100" w:afterAutospacing="1" w:line="360" w:lineRule="auto"/>
        <w:contextualSpacing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   参赛课程需坚持“以人为本”、“以学生为中心”的理念，不断创新探索新的技术工具、教学方法等，如构建知识图谱、借助人工智能生成资源、训练AI智能体用于教学、基于学习数据开展精准评价及反馈等措施，优化教学设计；最终构建“教师、学生、AI、智慧教学环境”四维的“师-生-机-环”共同体，开展深度混合式教学设计。</w:t>
      </w:r>
    </w:p>
    <w:p w14:paraId="32092184">
      <w:pPr>
        <w:spacing w:before="100" w:beforeAutospacing="1" w:after="100" w:afterAutospacing="1" w:line="360" w:lineRule="auto"/>
        <w:ind w:firstLine="480" w:firstLineChars="200"/>
        <w:contextualSpacing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参赛老师需提交</w:t>
      </w:r>
      <w:r>
        <w:rPr>
          <w:rFonts w:hint="eastAsia" w:ascii="仿宋" w:hAnsi="仿宋" w:eastAsia="仿宋"/>
          <w:b/>
          <w:bCs/>
          <w:sz w:val="24"/>
          <w:szCs w:val="24"/>
        </w:rPr>
        <w:t>参赛申请表、</w:t>
      </w:r>
      <w:r>
        <w:rPr>
          <w:rFonts w:ascii="仿宋" w:hAnsi="仿宋" w:eastAsia="仿宋"/>
          <w:b/>
          <w:bCs/>
          <w:sz w:val="24"/>
          <w:szCs w:val="24"/>
        </w:rPr>
        <w:t>说课视频</w:t>
      </w:r>
      <w:r>
        <w:rPr>
          <w:rFonts w:hint="eastAsia" w:ascii="仿宋" w:hAnsi="仿宋" w:eastAsia="仿宋"/>
          <w:b/>
          <w:bCs/>
          <w:sz w:val="24"/>
          <w:szCs w:val="24"/>
        </w:rPr>
        <w:t>及一个完整知识单元（2-6学时）的教学设计样例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 xml:space="preserve"> </w:t>
      </w:r>
    </w:p>
    <w:p w14:paraId="23579BA6">
      <w:pPr>
        <w:spacing w:before="100" w:beforeAutospacing="1" w:after="100" w:afterAutospacing="1" w:line="360" w:lineRule="auto"/>
        <w:ind w:firstLine="480" w:firstLineChars="200"/>
        <w:contextualSpacing/>
        <w:jc w:val="both"/>
        <w:rPr>
          <w:rFonts w:hint="eastAsia" w:ascii="仿宋" w:hAnsi="仿宋" w:eastAsia="仿宋"/>
          <w:sz w:val="24"/>
          <w:szCs w:val="24"/>
        </w:rPr>
      </w:pPr>
      <w:bookmarkStart w:id="0" w:name="_Hlk181949662"/>
      <w:r>
        <w:rPr>
          <w:rFonts w:hint="eastAsia" w:ascii="仿宋" w:hAnsi="仿宋" w:eastAsia="仿宋"/>
          <w:sz w:val="24"/>
          <w:szCs w:val="24"/>
        </w:rPr>
        <w:t>说课</w:t>
      </w:r>
      <w:r>
        <w:rPr>
          <w:rFonts w:ascii="仿宋" w:hAnsi="仿宋" w:eastAsia="仿宋"/>
          <w:sz w:val="24"/>
          <w:szCs w:val="24"/>
        </w:rPr>
        <w:t>视频时长</w:t>
      </w:r>
      <w:r>
        <w:rPr>
          <w:rFonts w:hint="eastAsia" w:ascii="仿宋" w:hAnsi="仿宋" w:eastAsia="仿宋"/>
          <w:sz w:val="24"/>
          <w:szCs w:val="24"/>
        </w:rPr>
        <w:t>不超过</w:t>
      </w:r>
      <w:r>
        <w:rPr>
          <w:rFonts w:ascii="仿宋" w:hAnsi="仿宋" w:eastAsia="仿宋"/>
          <w:sz w:val="24"/>
          <w:szCs w:val="24"/>
        </w:rPr>
        <w:t>10分钟</w:t>
      </w:r>
      <w:r>
        <w:rPr>
          <w:rFonts w:hint="eastAsia" w:ascii="仿宋" w:hAnsi="仿宋" w:eastAsia="仿宋"/>
          <w:sz w:val="24"/>
          <w:szCs w:val="24"/>
        </w:rPr>
        <w:t>，不超过1200</w:t>
      </w:r>
      <w:r>
        <w:rPr>
          <w:rFonts w:ascii="仿宋" w:hAnsi="仿宋" w:eastAsia="仿宋"/>
          <w:sz w:val="24"/>
          <w:szCs w:val="24"/>
        </w:rPr>
        <w:t>M</w:t>
      </w:r>
      <w:r>
        <w:rPr>
          <w:rFonts w:hint="eastAsia" w:ascii="仿宋" w:hAnsi="仿宋" w:eastAsia="仿宋"/>
          <w:sz w:val="24"/>
          <w:szCs w:val="24"/>
        </w:rPr>
        <w:t>，格式为MP4。</w:t>
      </w:r>
      <w:bookmarkEnd w:id="0"/>
      <w:r>
        <w:rPr>
          <w:rFonts w:hint="eastAsia" w:ascii="仿宋" w:hAnsi="仿宋" w:eastAsia="仿宋"/>
          <w:sz w:val="24"/>
          <w:szCs w:val="24"/>
        </w:rPr>
        <w:t>须</w:t>
      </w:r>
      <w:r>
        <w:rPr>
          <w:rFonts w:ascii="仿宋" w:hAnsi="仿宋" w:eastAsia="仿宋"/>
          <w:sz w:val="24"/>
          <w:szCs w:val="24"/>
        </w:rPr>
        <w:t>包含课程</w:t>
      </w:r>
      <w:r>
        <w:rPr>
          <w:rFonts w:hint="eastAsia" w:ascii="仿宋" w:hAnsi="仿宋" w:eastAsia="仿宋"/>
          <w:sz w:val="24"/>
          <w:szCs w:val="24"/>
        </w:rPr>
        <w:t>概述、</w:t>
      </w:r>
      <w:r>
        <w:rPr>
          <w:rFonts w:ascii="仿宋" w:hAnsi="仿宋" w:eastAsia="仿宋"/>
          <w:sz w:val="24"/>
          <w:szCs w:val="24"/>
        </w:rPr>
        <w:t>智慧课程设计理念、</w:t>
      </w:r>
      <w:r>
        <w:rPr>
          <w:rFonts w:hint="eastAsia" w:ascii="仿宋" w:hAnsi="仿宋" w:eastAsia="仿宋"/>
          <w:sz w:val="24"/>
          <w:szCs w:val="24"/>
        </w:rPr>
        <w:t>需求分析、</w:t>
      </w:r>
      <w:r>
        <w:rPr>
          <w:rFonts w:ascii="仿宋" w:hAnsi="仿宋" w:eastAsia="仿宋"/>
          <w:sz w:val="24"/>
          <w:szCs w:val="24"/>
        </w:rPr>
        <w:t>痛点</w:t>
      </w:r>
      <w:r>
        <w:rPr>
          <w:rFonts w:hint="eastAsia" w:ascii="仿宋" w:hAnsi="仿宋" w:eastAsia="仿宋"/>
          <w:sz w:val="24"/>
          <w:szCs w:val="24"/>
        </w:rPr>
        <w:t>问题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教学内容选择与组织</w:t>
      </w:r>
      <w:r>
        <w:rPr>
          <w:rFonts w:ascii="仿宋" w:hAnsi="仿宋" w:eastAsia="仿宋"/>
          <w:sz w:val="24"/>
          <w:szCs w:val="24"/>
        </w:rPr>
        <w:t>、</w:t>
      </w:r>
      <w:r>
        <w:rPr>
          <w:rFonts w:hint="eastAsia" w:ascii="仿宋" w:hAnsi="仿宋" w:eastAsia="仿宋"/>
          <w:sz w:val="24"/>
          <w:szCs w:val="24"/>
        </w:rPr>
        <w:t>教学过程与方法、教学评价与目标达成等</w:t>
      </w:r>
      <w:r>
        <w:rPr>
          <w:rFonts w:ascii="仿宋" w:hAnsi="仿宋" w:eastAsia="仿宋"/>
          <w:sz w:val="24"/>
          <w:szCs w:val="24"/>
        </w:rPr>
        <w:t>内容。</w:t>
      </w:r>
    </w:p>
    <w:p w14:paraId="72FAE8D9">
      <w:pPr>
        <w:spacing w:before="100" w:beforeAutospacing="1" w:after="100" w:afterAutospacing="1" w:line="360" w:lineRule="auto"/>
        <w:ind w:firstLine="480" w:firstLineChars="200"/>
        <w:contextualSpacing/>
        <w:jc w:val="both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教学设计样例可图文结合，</w:t>
      </w:r>
      <w:r>
        <w:rPr>
          <w:rFonts w:hint="eastAsia" w:ascii="仿宋" w:hAnsi="仿宋" w:eastAsia="仿宋" w:cs="宋体"/>
          <w:sz w:val="24"/>
          <w:szCs w:val="24"/>
        </w:rPr>
        <w:t>一般</w:t>
      </w:r>
      <w:r>
        <w:rPr>
          <w:rFonts w:ascii="仿宋" w:hAnsi="仿宋" w:eastAsia="仿宋"/>
          <w:sz w:val="24"/>
          <w:szCs w:val="24"/>
        </w:rPr>
        <w:t>包括教学目标、教学内容、</w:t>
      </w:r>
      <w:r>
        <w:rPr>
          <w:rFonts w:hint="eastAsia" w:ascii="仿宋" w:hAnsi="仿宋" w:eastAsia="仿宋"/>
          <w:sz w:val="24"/>
          <w:szCs w:val="24"/>
        </w:rPr>
        <w:t>学情分析、内容分析、教学环境、</w:t>
      </w:r>
      <w:r>
        <w:rPr>
          <w:rFonts w:ascii="仿宋" w:hAnsi="仿宋" w:eastAsia="仿宋"/>
          <w:sz w:val="24"/>
          <w:szCs w:val="24"/>
        </w:rPr>
        <w:t>教学</w:t>
      </w:r>
      <w:r>
        <w:rPr>
          <w:rFonts w:hint="eastAsia" w:ascii="仿宋" w:hAnsi="仿宋" w:eastAsia="仿宋"/>
          <w:sz w:val="24"/>
          <w:szCs w:val="24"/>
        </w:rPr>
        <w:t>策略与方法</w:t>
      </w:r>
      <w:r>
        <w:rPr>
          <w:rFonts w:ascii="仿宋" w:hAnsi="仿宋" w:eastAsia="仿宋"/>
          <w:sz w:val="24"/>
          <w:szCs w:val="24"/>
        </w:rPr>
        <w:t>、教学</w:t>
      </w:r>
      <w:r>
        <w:rPr>
          <w:rFonts w:hint="eastAsia" w:ascii="仿宋" w:hAnsi="仿宋" w:eastAsia="仿宋"/>
          <w:sz w:val="24"/>
          <w:szCs w:val="24"/>
        </w:rPr>
        <w:t>评价</w:t>
      </w:r>
      <w:r>
        <w:rPr>
          <w:rFonts w:ascii="仿宋" w:hAnsi="仿宋" w:eastAsia="仿宋"/>
          <w:sz w:val="24"/>
          <w:szCs w:val="24"/>
        </w:rPr>
        <w:t>等</w:t>
      </w:r>
      <w:r>
        <w:rPr>
          <w:rFonts w:hint="eastAsia" w:ascii="仿宋" w:hAnsi="仿宋" w:eastAsia="仿宋"/>
          <w:sz w:val="24"/>
          <w:szCs w:val="24"/>
        </w:rPr>
        <w:t>，并充分说明AI赋能教学环节的设计意图</w:t>
      </w:r>
      <w:r>
        <w:rPr>
          <w:rFonts w:ascii="仿宋" w:hAnsi="仿宋" w:eastAsia="仿宋"/>
          <w:sz w:val="24"/>
          <w:szCs w:val="24"/>
        </w:rPr>
        <w:t>。</w:t>
      </w:r>
    </w:p>
    <w:p w14:paraId="1EC3B9DB">
      <w:pPr>
        <w:spacing w:before="100" w:beforeAutospacing="1" w:after="100" w:afterAutospacing="1" w:line="360" w:lineRule="auto"/>
        <w:ind w:firstLine="482" w:firstLineChars="200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四</w:t>
      </w:r>
      <w:r>
        <w:rPr>
          <w:rFonts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大赛赛制及</w:t>
      </w:r>
      <w:r>
        <w:rPr>
          <w:rFonts w:ascii="仿宋" w:hAnsi="仿宋" w:eastAsia="仿宋"/>
          <w:b/>
          <w:bCs/>
          <w:sz w:val="24"/>
          <w:szCs w:val="24"/>
        </w:rPr>
        <w:t>流程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</w:p>
    <w:p w14:paraId="55BDC51F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本次大赛不收取报名费、参赛费（提交初赛材料即视为报名参赛）。大赛分为初赛、复赛两个阶段。</w:t>
      </w:r>
    </w:p>
    <w:p w14:paraId="16DF8595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报名及材料提交：</w:t>
      </w:r>
    </w:p>
    <w:p w14:paraId="6C4029CC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color w:val="auto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参赛教师需通过大赛官网（https://2024cxzhkc.mh.chaoxing.com/）提交报名信息及参赛材料，截止</w:t>
      </w:r>
      <w:r>
        <w:rPr>
          <w:rFonts w:hint="eastAsia" w:ascii="仿宋" w:hAnsi="仿宋" w:eastAsia="仿宋"/>
          <w:sz w:val="24"/>
          <w:szCs w:val="24"/>
        </w:rPr>
        <w:t>时间</w:t>
      </w:r>
      <w:r>
        <w:rPr>
          <w:rFonts w:ascii="仿宋" w:hAnsi="仿宋" w:eastAsia="仿宋"/>
          <w:sz w:val="24"/>
          <w:szCs w:val="24"/>
        </w:rPr>
        <w:t>为</w:t>
      </w:r>
      <w:r>
        <w:rPr>
          <w:rFonts w:hint="eastAsia" w:ascii="仿宋" w:hAnsi="仿宋" w:eastAsia="仿宋"/>
          <w:color w:val="auto"/>
          <w:sz w:val="24"/>
          <w:szCs w:val="24"/>
        </w:rPr>
        <w:t>2025年4月13日24：00</w:t>
      </w:r>
      <w:r>
        <w:rPr>
          <w:rFonts w:ascii="仿宋" w:hAnsi="仿宋" w:eastAsia="仿宋"/>
          <w:color w:val="auto"/>
          <w:sz w:val="24"/>
          <w:szCs w:val="24"/>
        </w:rPr>
        <w:t>。</w:t>
      </w:r>
    </w:p>
    <w:p w14:paraId="7EEFAA50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初赛（网络评审）：</w:t>
      </w:r>
    </w:p>
    <w:p w14:paraId="74907AC1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由专家评审团对提交的参赛材料进行线上评审，评选出入围复赛的作品</w:t>
      </w:r>
      <w:r>
        <w:rPr>
          <w:rFonts w:hint="eastAsia" w:ascii="仿宋" w:hAnsi="仿宋" w:eastAsia="仿宋"/>
          <w:sz w:val="24"/>
          <w:szCs w:val="24"/>
        </w:rPr>
        <w:t>，预计于2025年6月份公布复赛名单。</w:t>
      </w:r>
    </w:p>
    <w:p w14:paraId="17F77602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复赛（现场比赛）：</w:t>
      </w:r>
    </w:p>
    <w:p w14:paraId="65C243DC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入围教师</w:t>
      </w:r>
      <w:r>
        <w:rPr>
          <w:rFonts w:ascii="仿宋" w:hAnsi="仿宋" w:eastAsia="仿宋"/>
          <w:sz w:val="24"/>
          <w:szCs w:val="24"/>
        </w:rPr>
        <w:t>将受邀参加现场比赛，进行</w:t>
      </w:r>
      <w:r>
        <w:rPr>
          <w:rFonts w:ascii="仿宋" w:hAnsi="仿宋" w:eastAsia="仿宋"/>
          <w:color w:val="auto"/>
          <w:sz w:val="24"/>
          <w:szCs w:val="24"/>
        </w:rPr>
        <w:t>智慧课程说课和教学设计</w:t>
      </w:r>
      <w:r>
        <w:rPr>
          <w:rFonts w:hint="eastAsia" w:ascii="仿宋" w:hAnsi="仿宋" w:eastAsia="仿宋"/>
          <w:color w:val="auto"/>
          <w:sz w:val="24"/>
          <w:szCs w:val="24"/>
        </w:rPr>
        <w:t>优化方案汇报</w:t>
      </w:r>
      <w:r>
        <w:rPr>
          <w:rFonts w:ascii="仿宋" w:hAnsi="仿宋" w:eastAsia="仿宋"/>
          <w:color w:val="auto"/>
          <w:sz w:val="24"/>
          <w:szCs w:val="24"/>
        </w:rPr>
        <w:t>，并回答评委提问。现场比赛时间</w:t>
      </w:r>
      <w:r>
        <w:rPr>
          <w:rFonts w:ascii="仿宋" w:hAnsi="仿宋" w:eastAsia="仿宋"/>
          <w:sz w:val="24"/>
          <w:szCs w:val="24"/>
        </w:rPr>
        <w:t>及地点将另行通知。</w:t>
      </w:r>
      <w:r>
        <w:rPr>
          <w:rFonts w:hint="eastAsia" w:ascii="仿宋" w:hAnsi="仿宋" w:eastAsia="仿宋"/>
          <w:sz w:val="24"/>
          <w:szCs w:val="24"/>
        </w:rPr>
        <w:t>初赛成绩占60%，复赛成绩占40%，一起记入总分。</w:t>
      </w:r>
    </w:p>
    <w:p w14:paraId="68B2319A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参赛教师提交的所有材料需保证原创性、真实性，不得抄袭、剽窃他人作品。如有违规行为，将取消参赛资格。</w:t>
      </w:r>
    </w:p>
    <w:p w14:paraId="1725C341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参赛教师享有作品的著作权，但同意将作品的修改权、信息网络传播权等部分权利授权给</w:t>
      </w:r>
      <w:r>
        <w:rPr>
          <w:rFonts w:hint="eastAsia" w:ascii="仿宋" w:hAnsi="仿宋" w:eastAsia="仿宋"/>
          <w:sz w:val="24"/>
          <w:szCs w:val="24"/>
        </w:rPr>
        <w:t>混合式教学创新者联盟及</w:t>
      </w:r>
      <w:r>
        <w:rPr>
          <w:rFonts w:ascii="仿宋" w:hAnsi="仿宋" w:eastAsia="仿宋"/>
          <w:sz w:val="24"/>
          <w:szCs w:val="24"/>
        </w:rPr>
        <w:t>超星</w:t>
      </w:r>
      <w:r>
        <w:rPr>
          <w:rFonts w:hint="eastAsia" w:ascii="仿宋" w:hAnsi="仿宋" w:eastAsia="仿宋"/>
          <w:sz w:val="24"/>
          <w:szCs w:val="24"/>
        </w:rPr>
        <w:t>泛雅</w:t>
      </w:r>
      <w:r>
        <w:rPr>
          <w:rFonts w:ascii="仿宋" w:hAnsi="仿宋" w:eastAsia="仿宋"/>
          <w:sz w:val="24"/>
          <w:szCs w:val="24"/>
        </w:rPr>
        <w:t>集团，以便进行展示和推广。</w:t>
      </w:r>
    </w:p>
    <w:p w14:paraId="1EC05414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大赛官网开放时间为</w:t>
      </w:r>
      <w:r>
        <w:rPr>
          <w:rFonts w:hint="eastAsia" w:ascii="仿宋" w:hAnsi="仿宋" w:eastAsia="仿宋"/>
          <w:color w:val="auto"/>
          <w:sz w:val="24"/>
          <w:szCs w:val="24"/>
        </w:rPr>
        <w:t>2024年11月22日24：00</w:t>
      </w:r>
      <w:r>
        <w:rPr>
          <w:rFonts w:ascii="仿宋" w:hAnsi="仿宋" w:eastAsia="仿宋"/>
          <w:sz w:val="24"/>
          <w:szCs w:val="24"/>
        </w:rPr>
        <w:t>，参赛教师可登录官网查看详细比赛规则、进程安排及下载相关附件</w:t>
      </w:r>
      <w:r>
        <w:rPr>
          <w:rFonts w:hint="eastAsia" w:ascii="仿宋" w:hAnsi="仿宋" w:eastAsia="仿宋"/>
          <w:sz w:val="24"/>
          <w:szCs w:val="24"/>
        </w:rPr>
        <w:t>、完成比赛资料上传</w:t>
      </w:r>
      <w:r>
        <w:rPr>
          <w:rFonts w:ascii="仿宋" w:hAnsi="仿宋" w:eastAsia="仿宋"/>
          <w:sz w:val="24"/>
          <w:szCs w:val="24"/>
        </w:rPr>
        <w:t>。</w:t>
      </w:r>
    </w:p>
    <w:p w14:paraId="53665756">
      <w:pPr>
        <w:spacing w:before="100" w:beforeAutospacing="1" w:after="100" w:afterAutospacing="1" w:line="360" w:lineRule="auto"/>
        <w:ind w:firstLine="482" w:firstLineChars="200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五</w:t>
      </w:r>
      <w:r>
        <w:rPr>
          <w:rFonts w:ascii="仿宋" w:hAnsi="仿宋" w:eastAsia="仿宋"/>
          <w:b/>
          <w:bCs/>
          <w:sz w:val="24"/>
          <w:szCs w:val="24"/>
        </w:rPr>
        <w:t>、奖项设置</w:t>
      </w:r>
      <w:r>
        <w:rPr>
          <w:rFonts w:hint="eastAsia" w:ascii="仿宋" w:hAnsi="仿宋" w:eastAsia="仿宋"/>
          <w:b/>
          <w:bCs/>
          <w:sz w:val="24"/>
          <w:szCs w:val="24"/>
        </w:rPr>
        <w:t xml:space="preserve"> </w:t>
      </w:r>
    </w:p>
    <w:p w14:paraId="18315071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个人（团队）奖：设立</w:t>
      </w:r>
      <w:r>
        <w:rPr>
          <w:rFonts w:hint="eastAsia" w:ascii="仿宋" w:hAnsi="仿宋" w:eastAsia="仿宋"/>
          <w:sz w:val="24"/>
          <w:szCs w:val="24"/>
        </w:rPr>
        <w:t>特等奖、</w:t>
      </w:r>
      <w:r>
        <w:rPr>
          <w:rFonts w:ascii="仿宋" w:hAnsi="仿宋" w:eastAsia="仿宋"/>
          <w:sz w:val="24"/>
          <w:szCs w:val="24"/>
        </w:rPr>
        <w:t>一等奖、二等奖、三等奖，颁发荣誉证书及</w:t>
      </w:r>
      <w:r>
        <w:rPr>
          <w:rFonts w:hint="eastAsia" w:ascii="仿宋" w:hAnsi="仿宋" w:eastAsia="仿宋"/>
          <w:sz w:val="24"/>
          <w:szCs w:val="24"/>
        </w:rPr>
        <w:t>奖金</w:t>
      </w:r>
      <w:r>
        <w:rPr>
          <w:rFonts w:ascii="仿宋" w:hAnsi="仿宋" w:eastAsia="仿宋"/>
          <w:sz w:val="24"/>
          <w:szCs w:val="24"/>
        </w:rPr>
        <w:t>。</w:t>
      </w:r>
      <w:r>
        <w:rPr>
          <w:rFonts w:hint="eastAsia" w:ascii="仿宋" w:hAnsi="仿宋" w:eastAsia="仿宋"/>
          <w:sz w:val="24"/>
          <w:szCs w:val="24"/>
        </w:rPr>
        <w:t>特等奖奖金10000元，一等奖奖金5000元，二等奖奖金3000元，三等奖奖金1000元。</w:t>
      </w:r>
    </w:p>
    <w:p w14:paraId="36E7BC7E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专项奖：根据作品特点，设立</w:t>
      </w:r>
      <w:r>
        <w:rPr>
          <w:rFonts w:hint="eastAsia" w:ascii="仿宋" w:hAnsi="仿宋" w:eastAsia="仿宋"/>
          <w:sz w:val="24"/>
          <w:szCs w:val="24"/>
        </w:rPr>
        <w:t>智慧教学设计</w:t>
      </w:r>
      <w:r>
        <w:rPr>
          <w:rFonts w:ascii="仿宋" w:hAnsi="仿宋" w:eastAsia="仿宋"/>
          <w:sz w:val="24"/>
          <w:szCs w:val="24"/>
        </w:rPr>
        <w:t>创新奖、</w:t>
      </w:r>
      <w:r>
        <w:rPr>
          <w:rFonts w:hint="eastAsia" w:ascii="仿宋" w:hAnsi="仿宋" w:eastAsia="仿宋"/>
          <w:sz w:val="24"/>
          <w:szCs w:val="24"/>
        </w:rPr>
        <w:t>AI教学应用创意奖</w:t>
      </w:r>
      <w:r>
        <w:rPr>
          <w:rFonts w:ascii="仿宋" w:hAnsi="仿宋" w:eastAsia="仿宋"/>
          <w:sz w:val="24"/>
          <w:szCs w:val="24"/>
        </w:rPr>
        <w:t>等专项奖</w:t>
      </w:r>
      <w:r>
        <w:rPr>
          <w:rFonts w:hint="eastAsia" w:ascii="仿宋" w:hAnsi="仿宋" w:eastAsia="仿宋"/>
          <w:sz w:val="24"/>
          <w:szCs w:val="24"/>
        </w:rPr>
        <w:t>，颁发荣誉证书</w:t>
      </w:r>
      <w:r>
        <w:rPr>
          <w:rFonts w:ascii="仿宋" w:hAnsi="仿宋" w:eastAsia="仿宋"/>
          <w:sz w:val="24"/>
          <w:szCs w:val="24"/>
        </w:rPr>
        <w:t>。</w:t>
      </w:r>
    </w:p>
    <w:p w14:paraId="73370583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优秀组织奖：对积极推荐教师参赛并获得良好成绩的单位，授予优秀组织奖。</w:t>
      </w:r>
    </w:p>
    <w:p w14:paraId="637BF530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获奖教师将成为超星智慧教学研究院特聘专家，作为各种会议、学校评审、指导等特邀专家。</w:t>
      </w:r>
    </w:p>
    <w:p w14:paraId="1C17DB5B">
      <w:pPr>
        <w:spacing w:before="100" w:beforeAutospacing="1" w:after="100" w:afterAutospacing="1" w:line="360" w:lineRule="auto"/>
        <w:ind w:firstLine="482" w:firstLineChars="200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六、其他</w:t>
      </w:r>
    </w:p>
    <w:p w14:paraId="5A4703BB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1.提交初赛材料，即视为认同本章程；</w:t>
      </w:r>
    </w:p>
    <w:p w14:paraId="7166F652">
      <w:pPr>
        <w:spacing w:before="100" w:beforeAutospacing="1" w:after="100" w:afterAutospacing="1" w:line="360" w:lineRule="auto"/>
        <w:ind w:firstLine="480" w:firstLineChars="2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2.本章程解释权，归“泛雅杯”全国高校智慧课程设计大赛组委会。</w:t>
      </w:r>
    </w:p>
    <w:p w14:paraId="16049C61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01C82A8F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09830A90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383D09C4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28D47E0F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1A22055E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4B283D47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2D12818A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37F5A6C2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5436F039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5DEC06B3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599B51BE">
      <w:pPr>
        <w:spacing w:before="100" w:beforeAutospacing="1" w:after="100" w:afterAutospacing="1" w:line="360" w:lineRule="auto"/>
        <w:ind w:firstLine="560" w:firstLineChars="200"/>
        <w:contextualSpacing/>
        <w:rPr>
          <w:rFonts w:hint="eastAsia" w:ascii="仿宋" w:hAnsi="仿宋" w:eastAsia="仿宋"/>
          <w:sz w:val="28"/>
          <w:szCs w:val="28"/>
        </w:rPr>
      </w:pPr>
    </w:p>
    <w:p w14:paraId="4F6C14D0">
      <w:pPr>
        <w:spacing w:before="100" w:beforeAutospacing="1" w:after="100" w:afterAutospacing="1" w:line="360" w:lineRule="auto"/>
        <w:ind w:firstLine="3600" w:firstLineChars="1500"/>
        <w:contextualSpacing/>
        <w:rPr>
          <w:rFonts w:hint="eastAsia" w:ascii="仿宋" w:hAnsi="仿宋" w:eastAsia="仿宋"/>
          <w:sz w:val="24"/>
          <w:szCs w:val="24"/>
        </w:rPr>
      </w:pPr>
    </w:p>
    <w:p w14:paraId="49F000FE">
      <w:pPr>
        <w:spacing w:before="100" w:beforeAutospacing="1" w:after="100" w:afterAutospacing="1" w:line="360" w:lineRule="auto"/>
        <w:ind w:firstLine="3840" w:firstLineChars="16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“泛雅杯”全国高校智慧课程设计大赛组委会 </w:t>
      </w:r>
    </w:p>
    <w:p w14:paraId="1762DC41">
      <w:pPr>
        <w:spacing w:before="100" w:beforeAutospacing="1" w:after="100" w:afterAutospacing="1" w:line="360" w:lineRule="auto"/>
        <w:ind w:firstLine="5760" w:firstLineChars="2400"/>
        <w:contextualSpacing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2024年11月</w:t>
      </w:r>
    </w:p>
    <w:p w14:paraId="78499049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</w:rPr>
        <w:sectPr>
          <w:headerReference r:id="rId3" w:type="default"/>
          <w:footerReference r:id="rId4" w:type="default"/>
          <w:pgSz w:w="11910" w:h="16840"/>
          <w:pgMar w:top="1431" w:right="1344" w:bottom="2058" w:left="1355" w:header="0" w:footer="1919" w:gutter="0"/>
          <w:cols w:space="720" w:num="1"/>
        </w:sectPr>
      </w:pPr>
    </w:p>
    <w:p w14:paraId="451640DF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/>
          <w:b/>
          <w:bCs/>
          <w:sz w:val="24"/>
          <w:szCs w:val="24"/>
        </w:rPr>
        <w:t>2</w:t>
      </w:r>
    </w:p>
    <w:p w14:paraId="01C380A9">
      <w:pPr>
        <w:spacing w:before="100" w:beforeAutospacing="1" w:after="100" w:afterAutospacing="1" w:line="360" w:lineRule="auto"/>
        <w:contextualSpacing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“泛雅杯”全国高校智慧课程设计大赛</w:t>
      </w:r>
      <w:r>
        <w:rPr>
          <w:rFonts w:ascii="仿宋" w:hAnsi="仿宋" w:eastAsia="仿宋"/>
          <w:b/>
          <w:bCs/>
          <w:sz w:val="32"/>
          <w:szCs w:val="32"/>
        </w:rPr>
        <w:t>评分标准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5812"/>
      </w:tblGrid>
      <w:tr w14:paraId="43EAD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71" w:type="dxa"/>
            <w:vAlign w:val="center"/>
          </w:tcPr>
          <w:p w14:paraId="442B781C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ascii="仿宋" w:hAnsi="仿宋" w:eastAsia="仿宋" w:cs="Segoe UI"/>
                <w:b/>
                <w:bCs/>
                <w:color w:val="auto"/>
              </w:rPr>
              <w:t>一级指标</w:t>
            </w:r>
          </w:p>
        </w:tc>
        <w:tc>
          <w:tcPr>
            <w:tcW w:w="1276" w:type="dxa"/>
            <w:vAlign w:val="center"/>
          </w:tcPr>
          <w:p w14:paraId="52ABA42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ascii="仿宋" w:hAnsi="仿宋" w:eastAsia="仿宋" w:cs="Segoe UI"/>
                <w:b/>
                <w:bCs/>
                <w:color w:val="auto"/>
              </w:rPr>
              <w:t>二级指标</w:t>
            </w:r>
          </w:p>
        </w:tc>
        <w:tc>
          <w:tcPr>
            <w:tcW w:w="5812" w:type="dxa"/>
            <w:vAlign w:val="center"/>
          </w:tcPr>
          <w:p w14:paraId="1DC5AF8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Segoe UI"/>
                <w:b/>
                <w:bCs/>
                <w:color w:val="auto"/>
              </w:rPr>
              <w:t>评价要点</w:t>
            </w:r>
          </w:p>
        </w:tc>
      </w:tr>
      <w:tr w14:paraId="4626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271" w:type="dxa"/>
            <w:vMerge w:val="restart"/>
            <w:vAlign w:val="center"/>
          </w:tcPr>
          <w:p w14:paraId="232C6480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理念与</w:t>
            </w:r>
            <w:r>
              <w:rPr>
                <w:rFonts w:ascii="仿宋" w:hAnsi="仿宋" w:eastAsia="仿宋" w:cs="Segoe UI"/>
                <w:color w:val="auto"/>
              </w:rPr>
              <w:t>目标</w:t>
            </w:r>
          </w:p>
          <w:p w14:paraId="7918472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ascii="仿宋" w:hAnsi="仿宋" w:eastAsia="仿宋" w:cs="Segoe UI"/>
                <w:color w:val="auto"/>
              </w:rPr>
              <w:t>（2</w:t>
            </w:r>
            <w:r>
              <w:rPr>
                <w:rFonts w:hint="eastAsia" w:ascii="仿宋" w:hAnsi="仿宋" w:eastAsia="仿宋" w:cs="Segoe UI"/>
                <w:color w:val="auto"/>
              </w:rPr>
              <w:t>0</w:t>
            </w:r>
            <w:r>
              <w:rPr>
                <w:rFonts w:ascii="仿宋" w:hAnsi="仿宋" w:eastAsia="仿宋" w:cs="Segoe UI"/>
                <w:color w:val="auto"/>
              </w:rPr>
              <w:t>分）</w:t>
            </w:r>
          </w:p>
        </w:tc>
        <w:tc>
          <w:tcPr>
            <w:tcW w:w="1276" w:type="dxa"/>
            <w:vAlign w:val="center"/>
          </w:tcPr>
          <w:p w14:paraId="336DCBE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教学</w:t>
            </w:r>
            <w:r>
              <w:rPr>
                <w:rFonts w:ascii="仿宋" w:hAnsi="仿宋" w:eastAsia="仿宋" w:cs="Segoe UI"/>
                <w:color w:val="auto"/>
              </w:rPr>
              <w:t>理念</w:t>
            </w:r>
          </w:p>
        </w:tc>
        <w:tc>
          <w:tcPr>
            <w:tcW w:w="5812" w:type="dxa"/>
            <w:vAlign w:val="center"/>
          </w:tcPr>
          <w:p w14:paraId="16333934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ascii="仿宋" w:hAnsi="仿宋" w:eastAsia="仿宋" w:cs="Segoe UI"/>
                <w:color w:val="auto"/>
              </w:rPr>
              <w:t>体现</w:t>
            </w:r>
            <w:r>
              <w:rPr>
                <w:rFonts w:hint="eastAsia" w:ascii="仿宋" w:hAnsi="仿宋" w:eastAsia="仿宋" w:cs="Segoe UI"/>
                <w:color w:val="auto"/>
              </w:rPr>
              <w:t>智慧教学与“以人为本”、“</w:t>
            </w:r>
            <w:r>
              <w:rPr>
                <w:rFonts w:ascii="仿宋" w:hAnsi="仿宋" w:eastAsia="仿宋" w:cs="Segoe UI"/>
                <w:color w:val="auto"/>
              </w:rPr>
              <w:t>以学生为中心</w:t>
            </w:r>
            <w:r>
              <w:rPr>
                <w:rFonts w:hint="eastAsia" w:ascii="仿宋" w:hAnsi="仿宋" w:eastAsia="仿宋" w:cs="Segoe UI"/>
                <w:color w:val="auto"/>
              </w:rPr>
              <w:t>”等</w:t>
            </w:r>
            <w:r>
              <w:rPr>
                <w:rFonts w:ascii="仿宋" w:hAnsi="仿宋" w:eastAsia="仿宋" w:cs="Segoe UI"/>
                <w:color w:val="auto"/>
              </w:rPr>
              <w:t>教学理念</w:t>
            </w:r>
            <w:r>
              <w:rPr>
                <w:rFonts w:hint="eastAsia" w:ascii="仿宋" w:hAnsi="仿宋" w:eastAsia="仿宋" w:cs="Segoe UI"/>
                <w:color w:val="auto"/>
              </w:rPr>
              <w:t>融合</w:t>
            </w:r>
            <w:r>
              <w:rPr>
                <w:rFonts w:ascii="仿宋" w:hAnsi="仿宋" w:eastAsia="仿宋" w:cs="Segoe UI"/>
                <w:color w:val="auto"/>
              </w:rPr>
              <w:t>，</w:t>
            </w:r>
            <w:r>
              <w:rPr>
                <w:rFonts w:hint="eastAsia" w:ascii="仿宋" w:hAnsi="仿宋" w:eastAsia="仿宋" w:cs="Segoe UI"/>
                <w:color w:val="auto"/>
              </w:rPr>
              <w:t>注重技术伦理，引导学生学会学习。</w:t>
            </w:r>
          </w:p>
        </w:tc>
      </w:tr>
      <w:tr w14:paraId="3600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 w14:paraId="43370731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311BAF3B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需求分析</w:t>
            </w:r>
          </w:p>
        </w:tc>
        <w:tc>
          <w:tcPr>
            <w:tcW w:w="5812" w:type="dxa"/>
            <w:vAlign w:val="center"/>
          </w:tcPr>
          <w:p w14:paraId="0E1E286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分析课程定位、社会需求、学情等，深入剖析AI技术应用之前本课程存在的问题，为课程设计奠定基础。</w:t>
            </w:r>
          </w:p>
        </w:tc>
      </w:tr>
      <w:tr w14:paraId="227F5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 w14:paraId="53E7F682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04E8B58B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课程</w:t>
            </w:r>
            <w:r>
              <w:rPr>
                <w:rFonts w:ascii="仿宋" w:hAnsi="仿宋" w:eastAsia="仿宋" w:cs="Segoe UI"/>
                <w:color w:val="auto"/>
              </w:rPr>
              <w:t>目标</w:t>
            </w:r>
          </w:p>
        </w:tc>
        <w:tc>
          <w:tcPr>
            <w:tcW w:w="5812" w:type="dxa"/>
            <w:vAlign w:val="center"/>
          </w:tcPr>
          <w:p w14:paraId="6E894094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ascii="仿宋" w:hAnsi="仿宋" w:eastAsia="仿宋" w:cs="Segoe UI"/>
                <w:color w:val="auto"/>
              </w:rPr>
              <w:t>课程目标符合</w:t>
            </w:r>
            <w:r>
              <w:rPr>
                <w:rFonts w:hint="eastAsia" w:ascii="仿宋" w:hAnsi="仿宋" w:eastAsia="仿宋" w:cs="Segoe UI"/>
                <w:color w:val="auto"/>
              </w:rPr>
              <w:t>学校办学定位、社会需求、学科理论发展、学生未来发展</w:t>
            </w:r>
            <w:r>
              <w:rPr>
                <w:rFonts w:ascii="仿宋" w:hAnsi="仿宋" w:eastAsia="仿宋" w:cs="Segoe UI"/>
                <w:color w:val="auto"/>
              </w:rPr>
              <w:t>，具有前瞻性和引领性</w:t>
            </w:r>
            <w:r>
              <w:rPr>
                <w:rFonts w:hint="eastAsia" w:ascii="仿宋" w:hAnsi="仿宋" w:eastAsia="仿宋" w:cs="Segoe UI"/>
                <w:color w:val="auto"/>
              </w:rPr>
              <w:t>，反映人工智能所带来的影响</w:t>
            </w:r>
            <w:r>
              <w:rPr>
                <w:rFonts w:ascii="仿宋" w:hAnsi="仿宋" w:eastAsia="仿宋" w:cs="Segoe UI"/>
                <w:color w:val="auto"/>
              </w:rPr>
              <w:t>。</w:t>
            </w:r>
          </w:p>
        </w:tc>
      </w:tr>
      <w:tr w14:paraId="6028D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restart"/>
            <w:vAlign w:val="center"/>
          </w:tcPr>
          <w:p w14:paraId="0A7759C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内容与资源</w:t>
            </w:r>
          </w:p>
          <w:p w14:paraId="1FBBD97F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ascii="仿宋" w:hAnsi="仿宋" w:eastAsia="仿宋" w:cs="Segoe UI"/>
                <w:color w:val="auto"/>
              </w:rPr>
              <w:t>（</w:t>
            </w:r>
            <w:r>
              <w:rPr>
                <w:rFonts w:hint="eastAsia" w:ascii="仿宋" w:hAnsi="仿宋" w:eastAsia="仿宋" w:cs="Segoe UI"/>
                <w:color w:val="auto"/>
              </w:rPr>
              <w:t>30</w:t>
            </w:r>
            <w:r>
              <w:rPr>
                <w:rFonts w:ascii="仿宋" w:hAnsi="仿宋" w:eastAsia="仿宋" w:cs="Segoe UI"/>
                <w:color w:val="auto"/>
              </w:rPr>
              <w:t>分）</w:t>
            </w:r>
          </w:p>
          <w:p w14:paraId="0493AB7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3024BA6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内容选择及组织</w:t>
            </w:r>
          </w:p>
        </w:tc>
        <w:tc>
          <w:tcPr>
            <w:tcW w:w="5812" w:type="dxa"/>
          </w:tcPr>
          <w:p w14:paraId="0C101601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基于课程目标选择内容，可融入“四新”、学科发展变化、科研成果、行业前沿及社会真实案例等。能基于一定的逻辑、顺序或学生认知过程来合理组织内容，可构建知识图谱。</w:t>
            </w:r>
          </w:p>
        </w:tc>
      </w:tr>
      <w:tr w14:paraId="2F174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Merge w:val="continue"/>
            <w:vAlign w:val="center"/>
          </w:tcPr>
          <w:p w14:paraId="1B09B7FA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5EE3B2DB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资源建设</w:t>
            </w:r>
          </w:p>
        </w:tc>
        <w:tc>
          <w:tcPr>
            <w:tcW w:w="5812" w:type="dxa"/>
            <w:vAlign w:val="center"/>
          </w:tcPr>
          <w:p w14:paraId="60516EDF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使用多模态教学资源，鼓励基于AI生成部分资源，促进学生结构化理解，能够满足学生多样化的学习需求，注重资源的可用性、便捷性、必要性等。</w:t>
            </w:r>
          </w:p>
        </w:tc>
      </w:tr>
      <w:tr w14:paraId="46B47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71" w:type="dxa"/>
            <w:vMerge w:val="restart"/>
            <w:vAlign w:val="center"/>
          </w:tcPr>
          <w:p w14:paraId="2C5B8AC9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教学实施</w:t>
            </w:r>
          </w:p>
          <w:p w14:paraId="4EE81B88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ascii="仿宋" w:hAnsi="仿宋" w:eastAsia="仿宋" w:cs="Segoe UI"/>
                <w:color w:val="auto"/>
              </w:rPr>
              <w:t>（</w:t>
            </w:r>
            <w:r>
              <w:rPr>
                <w:rFonts w:hint="eastAsia" w:ascii="仿宋" w:hAnsi="仿宋" w:eastAsia="仿宋" w:cs="Segoe UI"/>
                <w:color w:val="auto"/>
              </w:rPr>
              <w:t>30</w:t>
            </w:r>
            <w:r>
              <w:rPr>
                <w:rFonts w:ascii="仿宋" w:hAnsi="仿宋" w:eastAsia="仿宋" w:cs="Segoe UI"/>
                <w:color w:val="auto"/>
              </w:rPr>
              <w:t>分）</w:t>
            </w:r>
          </w:p>
        </w:tc>
        <w:tc>
          <w:tcPr>
            <w:tcW w:w="1276" w:type="dxa"/>
            <w:vAlign w:val="center"/>
          </w:tcPr>
          <w:p w14:paraId="39751A6E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教学方法</w:t>
            </w:r>
          </w:p>
        </w:tc>
        <w:tc>
          <w:tcPr>
            <w:tcW w:w="5812" w:type="dxa"/>
            <w:vAlign w:val="center"/>
          </w:tcPr>
          <w:p w14:paraId="5C83C89F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基于课程目标和教学内容，选择合适的理论框架构建教学模型，</w:t>
            </w:r>
            <w:r>
              <w:rPr>
                <w:rFonts w:ascii="仿宋" w:hAnsi="仿宋" w:eastAsia="仿宋" w:cs="Segoe UI"/>
                <w:color w:val="auto"/>
              </w:rPr>
              <w:t>在教学中</w:t>
            </w:r>
            <w:r>
              <w:rPr>
                <w:rFonts w:hint="eastAsia" w:ascii="仿宋" w:hAnsi="仿宋" w:eastAsia="仿宋" w:cs="Segoe UI"/>
                <w:color w:val="auto"/>
              </w:rPr>
              <w:t>创造性地</w:t>
            </w:r>
            <w:r>
              <w:rPr>
                <w:rFonts w:ascii="仿宋" w:hAnsi="仿宋" w:eastAsia="仿宋" w:cs="Segoe UI"/>
                <w:color w:val="auto"/>
              </w:rPr>
              <w:t>应用</w:t>
            </w:r>
            <w:r>
              <w:rPr>
                <w:rFonts w:hint="eastAsia" w:ascii="仿宋" w:hAnsi="仿宋" w:eastAsia="仿宋" w:cs="Segoe UI"/>
                <w:color w:val="auto"/>
              </w:rPr>
              <w:t>AI技术，实施主动学习策略，促进学生自主学习，构建“师-生-机”共同体或“师-生-机-环”四元互动生态。</w:t>
            </w:r>
          </w:p>
        </w:tc>
      </w:tr>
      <w:tr w14:paraId="40D15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71" w:type="dxa"/>
            <w:vMerge w:val="continue"/>
            <w:vAlign w:val="center"/>
          </w:tcPr>
          <w:p w14:paraId="13C852A2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276" w:type="dxa"/>
            <w:vAlign w:val="center"/>
          </w:tcPr>
          <w:p w14:paraId="0716BCD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教学流程</w:t>
            </w:r>
          </w:p>
        </w:tc>
        <w:tc>
          <w:tcPr>
            <w:tcW w:w="5812" w:type="dxa"/>
            <w:vAlign w:val="center"/>
          </w:tcPr>
          <w:p w14:paraId="0E572920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能够贯彻教学方法，进行AI支持流程设计、基于AI的数据分析与决策，形成具有课程特色</w:t>
            </w:r>
            <w:r>
              <w:rPr>
                <w:rFonts w:ascii="仿宋" w:hAnsi="仿宋" w:eastAsia="仿宋" w:cs="Segoe UI"/>
                <w:color w:val="auto"/>
              </w:rPr>
              <w:t>的</w:t>
            </w:r>
            <w:r>
              <w:rPr>
                <w:rFonts w:hint="eastAsia" w:ascii="仿宋" w:hAnsi="仿宋" w:eastAsia="仿宋" w:cs="Segoe UI"/>
                <w:color w:val="auto"/>
              </w:rPr>
              <w:t>、有清晰逻辑主线的混合式教学流程，实现个性化学习。</w:t>
            </w:r>
          </w:p>
        </w:tc>
      </w:tr>
      <w:tr w14:paraId="4144A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271" w:type="dxa"/>
            <w:vMerge w:val="restart"/>
            <w:vAlign w:val="center"/>
          </w:tcPr>
          <w:p w14:paraId="3A6D5CF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课程评价</w:t>
            </w:r>
          </w:p>
          <w:p w14:paraId="1094426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（20分）</w:t>
            </w:r>
          </w:p>
        </w:tc>
        <w:tc>
          <w:tcPr>
            <w:tcW w:w="1276" w:type="dxa"/>
            <w:vAlign w:val="center"/>
          </w:tcPr>
          <w:p w14:paraId="22C34421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评价方案</w:t>
            </w:r>
          </w:p>
        </w:tc>
        <w:tc>
          <w:tcPr>
            <w:tcW w:w="5812" w:type="dxa"/>
            <w:vAlign w:val="center"/>
          </w:tcPr>
          <w:p w14:paraId="38196501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ascii="仿宋" w:hAnsi="仿宋" w:eastAsia="仿宋" w:cs="Segoe UI"/>
                <w:color w:val="auto"/>
              </w:rPr>
              <w:t>有效针对</w:t>
            </w:r>
            <w:r>
              <w:rPr>
                <w:rFonts w:hint="eastAsia" w:ascii="仿宋" w:hAnsi="仿宋" w:eastAsia="仿宋" w:cs="Segoe UI"/>
                <w:color w:val="auto"/>
              </w:rPr>
              <w:t>课程</w:t>
            </w:r>
            <w:r>
              <w:rPr>
                <w:rFonts w:ascii="仿宋" w:hAnsi="仿宋" w:eastAsia="仿宋" w:cs="Segoe UI"/>
                <w:color w:val="auto"/>
              </w:rPr>
              <w:t>目标</w:t>
            </w:r>
            <w:r>
              <w:rPr>
                <w:rFonts w:hint="eastAsia" w:ascii="仿宋" w:hAnsi="仿宋" w:eastAsia="仿宋" w:cs="Segoe UI"/>
                <w:color w:val="auto"/>
              </w:rPr>
              <w:t>及每次课的教学目标开展</w:t>
            </w:r>
            <w:r>
              <w:rPr>
                <w:rFonts w:ascii="仿宋" w:hAnsi="仿宋" w:eastAsia="仿宋" w:cs="Segoe UI"/>
                <w:color w:val="auto"/>
              </w:rPr>
              <w:t>学习评价</w:t>
            </w:r>
            <w:r>
              <w:rPr>
                <w:rFonts w:hint="eastAsia" w:ascii="仿宋" w:hAnsi="仿宋" w:eastAsia="仿宋" w:cs="Segoe UI"/>
                <w:color w:val="auto"/>
              </w:rPr>
              <w:t>，有效发挥形成性评价和终结性评价的各自优势、主客观结合、评价主体多元，可结合AI辅助考核，构建学生数字画像，体现数据驱动的迭代优化。</w:t>
            </w:r>
          </w:p>
        </w:tc>
      </w:tr>
      <w:tr w14:paraId="7DED8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jc w:val="center"/>
        </w:trPr>
        <w:tc>
          <w:tcPr>
            <w:tcW w:w="1271" w:type="dxa"/>
            <w:vMerge w:val="continue"/>
            <w:vAlign w:val="center"/>
          </w:tcPr>
          <w:p w14:paraId="01ED5979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</w:p>
        </w:tc>
        <w:tc>
          <w:tcPr>
            <w:tcW w:w="1276" w:type="dxa"/>
            <w:vAlign w:val="center"/>
          </w:tcPr>
          <w:p w14:paraId="098E3227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hint="eastAsia" w:ascii="仿宋" w:hAnsi="仿宋" w:eastAsia="仿宋" w:cs="Segoe UI"/>
                <w:color w:val="auto"/>
              </w:rPr>
              <w:t>目标达成</w:t>
            </w:r>
          </w:p>
        </w:tc>
        <w:tc>
          <w:tcPr>
            <w:tcW w:w="5812" w:type="dxa"/>
            <w:vAlign w:val="center"/>
          </w:tcPr>
          <w:p w14:paraId="2F26C8AE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 w:cs="Segoe UI"/>
                <w:color w:val="auto"/>
              </w:rPr>
            </w:pPr>
            <w:r>
              <w:rPr>
                <w:rFonts w:ascii="仿宋" w:hAnsi="仿宋" w:eastAsia="仿宋" w:cs="Segoe UI"/>
                <w:color w:val="auto"/>
              </w:rPr>
              <w:t>能够基于</w:t>
            </w:r>
            <w:r>
              <w:rPr>
                <w:rFonts w:hint="eastAsia" w:ascii="仿宋" w:hAnsi="仿宋" w:eastAsia="仿宋" w:cs="Segoe UI"/>
                <w:color w:val="auto"/>
              </w:rPr>
              <w:t>证据和</w:t>
            </w:r>
            <w:r>
              <w:rPr>
                <w:rFonts w:ascii="仿宋" w:hAnsi="仿宋" w:eastAsia="仿宋" w:cs="Segoe UI"/>
                <w:color w:val="auto"/>
              </w:rPr>
              <w:t>数据</w:t>
            </w:r>
            <w:r>
              <w:rPr>
                <w:rFonts w:hint="eastAsia" w:ascii="仿宋" w:hAnsi="仿宋" w:eastAsia="仿宋" w:cs="Segoe UI"/>
                <w:color w:val="auto"/>
              </w:rPr>
              <w:t>开展合理分析，阐述学生知识、能力与价值观的发展变化，以及课程目标的达成，能够体现智慧课程的优势。</w:t>
            </w:r>
          </w:p>
        </w:tc>
      </w:tr>
    </w:tbl>
    <w:p w14:paraId="4B567DC5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b/>
          <w:bCs/>
          <w:sz w:val="24"/>
          <w:szCs w:val="24"/>
        </w:rPr>
      </w:pPr>
    </w:p>
    <w:p w14:paraId="1BBE28FA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/>
          <w:b/>
          <w:bCs/>
          <w:sz w:val="24"/>
          <w:szCs w:val="24"/>
        </w:rPr>
        <w:t>3</w:t>
      </w:r>
    </w:p>
    <w:p w14:paraId="6936CE9E">
      <w:pPr>
        <w:spacing w:before="100" w:beforeAutospacing="1" w:after="100" w:afterAutospacing="1" w:line="360" w:lineRule="auto"/>
        <w:contextualSpacing/>
        <w:jc w:val="center"/>
        <w:rPr>
          <w:rFonts w:hint="eastAsia" w:ascii="仿宋" w:hAnsi="仿宋" w:eastAsia="仿宋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“泛雅杯”智慧课程设计大赛参赛申请表</w:t>
      </w:r>
    </w:p>
    <w:p w14:paraId="76A16E65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b/>
          <w:bCs/>
          <w:sz w:val="28"/>
          <w:szCs w:val="28"/>
        </w:rPr>
      </w:pPr>
    </w:p>
    <w:p w14:paraId="2A150138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一、基本情况</w:t>
      </w:r>
    </w:p>
    <w:p w14:paraId="02DC83CF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sz w:val="24"/>
          <w:szCs w:val="24"/>
        </w:rPr>
      </w:pPr>
    </w:p>
    <w:tbl>
      <w:tblPr>
        <w:tblStyle w:val="12"/>
        <w:tblW w:w="857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4"/>
        <w:gridCol w:w="769"/>
        <w:gridCol w:w="719"/>
        <w:gridCol w:w="849"/>
        <w:gridCol w:w="779"/>
        <w:gridCol w:w="1079"/>
        <w:gridCol w:w="759"/>
        <w:gridCol w:w="1046"/>
        <w:gridCol w:w="182"/>
        <w:gridCol w:w="1603"/>
      </w:tblGrid>
      <w:tr w14:paraId="43355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14:paraId="704F9523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主讲</w:t>
            </w:r>
          </w:p>
          <w:p w14:paraId="38195DE5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教师</w:t>
            </w:r>
          </w:p>
        </w:tc>
        <w:tc>
          <w:tcPr>
            <w:tcW w:w="769" w:type="dxa"/>
            <w:vAlign w:val="center"/>
          </w:tcPr>
          <w:p w14:paraId="4033EF89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68" w:type="dxa"/>
            <w:gridSpan w:val="2"/>
            <w:vAlign w:val="center"/>
          </w:tcPr>
          <w:p w14:paraId="2379305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B403DB6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079" w:type="dxa"/>
            <w:vAlign w:val="center"/>
          </w:tcPr>
          <w:p w14:paraId="6A8C739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293B471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 年月</w:t>
            </w:r>
          </w:p>
        </w:tc>
        <w:tc>
          <w:tcPr>
            <w:tcW w:w="1228" w:type="dxa"/>
            <w:gridSpan w:val="2"/>
            <w:vAlign w:val="center"/>
          </w:tcPr>
          <w:p w14:paraId="62231206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vMerge w:val="restart"/>
            <w:tcBorders>
              <w:bottom w:val="nil"/>
            </w:tcBorders>
            <w:textDirection w:val="tbRlV"/>
            <w:vAlign w:val="center"/>
          </w:tcPr>
          <w:p w14:paraId="767753C2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5AD522AD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3DA02196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  片</w:t>
            </w:r>
          </w:p>
        </w:tc>
      </w:tr>
      <w:tr w14:paraId="79A63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center"/>
          </w:tcPr>
          <w:p w14:paraId="6F4D1DBF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7C7B2178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568" w:type="dxa"/>
            <w:gridSpan w:val="2"/>
            <w:vAlign w:val="center"/>
          </w:tcPr>
          <w:p w14:paraId="1ABFE6D1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4F069AE5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079" w:type="dxa"/>
            <w:vAlign w:val="center"/>
          </w:tcPr>
          <w:p w14:paraId="4B711B28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4D2BB0D0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1228" w:type="dxa"/>
            <w:gridSpan w:val="2"/>
            <w:vAlign w:val="center"/>
          </w:tcPr>
          <w:p w14:paraId="202AE8E4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293537B0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55BD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center"/>
          </w:tcPr>
          <w:p w14:paraId="77D92CBF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61969A3D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568" w:type="dxa"/>
            <w:gridSpan w:val="2"/>
            <w:vAlign w:val="center"/>
          </w:tcPr>
          <w:p w14:paraId="69A803EE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6DAB9F45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 面貌</w:t>
            </w:r>
          </w:p>
        </w:tc>
        <w:tc>
          <w:tcPr>
            <w:tcW w:w="1079" w:type="dxa"/>
            <w:vAlign w:val="center"/>
          </w:tcPr>
          <w:p w14:paraId="6C0A03CA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5740419C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228" w:type="dxa"/>
            <w:gridSpan w:val="2"/>
            <w:vAlign w:val="center"/>
          </w:tcPr>
          <w:p w14:paraId="5721E6CC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 w14:paraId="4A9FF3E1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7E361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4" w:type="dxa"/>
            <w:vMerge w:val="continue"/>
            <w:tcBorders>
              <w:top w:val="nil"/>
              <w:bottom w:val="nil"/>
            </w:tcBorders>
            <w:vAlign w:val="center"/>
          </w:tcPr>
          <w:p w14:paraId="5FFDB285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2B694ED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 单位</w:t>
            </w:r>
          </w:p>
        </w:tc>
        <w:tc>
          <w:tcPr>
            <w:tcW w:w="5413" w:type="dxa"/>
            <w:gridSpan w:val="7"/>
            <w:vAlign w:val="center"/>
          </w:tcPr>
          <w:p w14:paraId="517BFE32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03" w:type="dxa"/>
            <w:vMerge w:val="continue"/>
            <w:tcBorders>
              <w:top w:val="nil"/>
            </w:tcBorders>
            <w:textDirection w:val="tbRlV"/>
            <w:vAlign w:val="center"/>
          </w:tcPr>
          <w:p w14:paraId="1CD3A38D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594A00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4" w:type="dxa"/>
            <w:vMerge w:val="continue"/>
            <w:tcBorders>
              <w:top w:val="nil"/>
            </w:tcBorders>
            <w:vAlign w:val="center"/>
          </w:tcPr>
          <w:p w14:paraId="7BBBF491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74A248B2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3426" w:type="dxa"/>
            <w:gridSpan w:val="4"/>
            <w:vAlign w:val="center"/>
          </w:tcPr>
          <w:p w14:paraId="10CBD5C5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14:paraId="76D498D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手机</w:t>
            </w:r>
          </w:p>
        </w:tc>
        <w:tc>
          <w:tcPr>
            <w:tcW w:w="2831" w:type="dxa"/>
            <w:gridSpan w:val="3"/>
            <w:vAlign w:val="center"/>
          </w:tcPr>
          <w:p w14:paraId="54F86BBC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4F6D5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794" w:type="dxa"/>
            <w:vMerge w:val="restart"/>
            <w:vAlign w:val="center"/>
          </w:tcPr>
          <w:p w14:paraId="7FFD1716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团队 教师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（不超过4人）</w:t>
            </w:r>
          </w:p>
        </w:tc>
        <w:tc>
          <w:tcPr>
            <w:tcW w:w="769" w:type="dxa"/>
            <w:vAlign w:val="center"/>
          </w:tcPr>
          <w:p w14:paraId="2B6BAF9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719" w:type="dxa"/>
            <w:vAlign w:val="center"/>
          </w:tcPr>
          <w:p w14:paraId="5D3BEC6D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849" w:type="dxa"/>
            <w:vAlign w:val="center"/>
          </w:tcPr>
          <w:p w14:paraId="5EE9F0C1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 年月</w:t>
            </w:r>
          </w:p>
        </w:tc>
        <w:tc>
          <w:tcPr>
            <w:tcW w:w="779" w:type="dxa"/>
            <w:vAlign w:val="center"/>
          </w:tcPr>
          <w:p w14:paraId="4FC6102D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职称</w:t>
            </w:r>
          </w:p>
        </w:tc>
        <w:tc>
          <w:tcPr>
            <w:tcW w:w="1079" w:type="dxa"/>
            <w:vAlign w:val="center"/>
          </w:tcPr>
          <w:p w14:paraId="7C67760C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学历/</w:t>
            </w:r>
          </w:p>
          <w:p w14:paraId="28289330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1805" w:type="dxa"/>
            <w:gridSpan w:val="2"/>
            <w:vAlign w:val="center"/>
          </w:tcPr>
          <w:p w14:paraId="37A35069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工作单位</w:t>
            </w:r>
          </w:p>
        </w:tc>
        <w:tc>
          <w:tcPr>
            <w:tcW w:w="1785" w:type="dxa"/>
            <w:gridSpan w:val="2"/>
            <w:vAlign w:val="center"/>
          </w:tcPr>
          <w:p w14:paraId="0F5099EC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在参赛课程中承</w:t>
            </w:r>
          </w:p>
          <w:p w14:paraId="222DBB0B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担的教学任务</w:t>
            </w:r>
          </w:p>
        </w:tc>
      </w:tr>
      <w:tr w14:paraId="11F47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4" w:type="dxa"/>
            <w:vMerge w:val="continue"/>
            <w:vAlign w:val="center"/>
          </w:tcPr>
          <w:p w14:paraId="3022E8E1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464CC306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09E29B5E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556F24FD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23EACE76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1FF4276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8A5682F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C9A9936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FCD7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94" w:type="dxa"/>
            <w:vMerge w:val="continue"/>
            <w:vAlign w:val="center"/>
          </w:tcPr>
          <w:p w14:paraId="6AA0C1A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3432034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7DB48BF0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12696B8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14EDEE6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79CA1AFB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597A1215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3B14960E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77EFE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94" w:type="dxa"/>
            <w:vMerge w:val="continue"/>
            <w:vAlign w:val="center"/>
          </w:tcPr>
          <w:p w14:paraId="292F91BA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0F64D03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23F527A9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0EFF4162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17C0EE9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3F54F755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39A146EE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7B2AE423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56BF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794" w:type="dxa"/>
            <w:vMerge w:val="continue"/>
            <w:vAlign w:val="center"/>
          </w:tcPr>
          <w:p w14:paraId="1DE67713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2D72C8A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19" w:type="dxa"/>
            <w:vAlign w:val="center"/>
          </w:tcPr>
          <w:p w14:paraId="278883B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14:paraId="3B31BD2D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79" w:type="dxa"/>
            <w:vAlign w:val="center"/>
          </w:tcPr>
          <w:p w14:paraId="7E333BF0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079" w:type="dxa"/>
            <w:vAlign w:val="center"/>
          </w:tcPr>
          <w:p w14:paraId="0E8F692A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2EC2373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BCD135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9057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794" w:type="dxa"/>
            <w:vMerge w:val="restart"/>
            <w:tcBorders>
              <w:bottom w:val="nil"/>
            </w:tcBorders>
            <w:vAlign w:val="center"/>
          </w:tcPr>
          <w:p w14:paraId="09584312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参赛</w:t>
            </w:r>
          </w:p>
          <w:p w14:paraId="1A11BAFF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</w:t>
            </w:r>
          </w:p>
          <w:p w14:paraId="353F779E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769" w:type="dxa"/>
            <w:vAlign w:val="center"/>
          </w:tcPr>
          <w:p w14:paraId="5EDCBDF7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课程 名称</w:t>
            </w:r>
          </w:p>
        </w:tc>
        <w:tc>
          <w:tcPr>
            <w:tcW w:w="3426" w:type="dxa"/>
            <w:gridSpan w:val="4"/>
            <w:vAlign w:val="center"/>
          </w:tcPr>
          <w:p w14:paraId="55709734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5B658400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课程性质</w:t>
            </w:r>
          </w:p>
        </w:tc>
        <w:tc>
          <w:tcPr>
            <w:tcW w:w="1785" w:type="dxa"/>
            <w:gridSpan w:val="2"/>
            <w:vAlign w:val="center"/>
          </w:tcPr>
          <w:p w14:paraId="6085D33B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6C50F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94" w:type="dxa"/>
            <w:vMerge w:val="continue"/>
            <w:tcBorders>
              <w:top w:val="nil"/>
            </w:tcBorders>
            <w:vAlign w:val="center"/>
          </w:tcPr>
          <w:p w14:paraId="3211ADD0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 w14:paraId="6B45C765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开课 年级</w:t>
            </w:r>
          </w:p>
        </w:tc>
        <w:tc>
          <w:tcPr>
            <w:tcW w:w="3426" w:type="dxa"/>
            <w:gridSpan w:val="4"/>
            <w:vAlign w:val="center"/>
          </w:tcPr>
          <w:p w14:paraId="6EFF6ECA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05" w:type="dxa"/>
            <w:gridSpan w:val="2"/>
            <w:vAlign w:val="center"/>
          </w:tcPr>
          <w:p w14:paraId="584A3A63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所属专业</w:t>
            </w:r>
          </w:p>
          <w:p w14:paraId="32AEBD4F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（公共基础课、通识选修课等可不填）</w:t>
            </w:r>
          </w:p>
        </w:tc>
        <w:tc>
          <w:tcPr>
            <w:tcW w:w="1785" w:type="dxa"/>
            <w:gridSpan w:val="2"/>
            <w:vAlign w:val="center"/>
          </w:tcPr>
          <w:p w14:paraId="74A15544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DCE44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6" w:hRule="atLeast"/>
        </w:trPr>
        <w:tc>
          <w:tcPr>
            <w:tcW w:w="794" w:type="dxa"/>
            <w:textDirection w:val="tbRlV"/>
            <w:vAlign w:val="center"/>
          </w:tcPr>
          <w:p w14:paraId="79E72888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教学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及奖励</w:t>
            </w:r>
            <w:r>
              <w:rPr>
                <w:rFonts w:ascii="仿宋" w:hAnsi="仿宋" w:eastAsia="仿宋"/>
                <w:sz w:val="24"/>
                <w:szCs w:val="24"/>
              </w:rPr>
              <w:t>情况</w:t>
            </w:r>
          </w:p>
        </w:tc>
        <w:tc>
          <w:tcPr>
            <w:tcW w:w="7785" w:type="dxa"/>
            <w:gridSpan w:val="9"/>
          </w:tcPr>
          <w:p w14:paraId="340ACFAF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(个人或团队近5年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在开展</w:t>
            </w:r>
            <w:r>
              <w:rPr>
                <w:rFonts w:ascii="仿宋" w:hAnsi="仿宋" w:eastAsia="仿宋"/>
                <w:sz w:val="24"/>
                <w:szCs w:val="24"/>
              </w:rPr>
              <w:t>教学研究、获得教学奖励等方面的情况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，500字以内</w:t>
            </w:r>
            <w:r>
              <w:rPr>
                <w:rFonts w:ascii="仿宋" w:hAnsi="仿宋" w:eastAsia="仿宋"/>
                <w:sz w:val="24"/>
                <w:szCs w:val="24"/>
              </w:rPr>
              <w:t>)</w:t>
            </w:r>
          </w:p>
        </w:tc>
      </w:tr>
    </w:tbl>
    <w:p w14:paraId="0D19E610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sz w:val="24"/>
          <w:szCs w:val="24"/>
        </w:rPr>
      </w:pPr>
    </w:p>
    <w:p w14:paraId="359BAF62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sz w:val="24"/>
          <w:szCs w:val="24"/>
        </w:rPr>
      </w:pPr>
    </w:p>
    <w:p w14:paraId="30A40597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二、</w:t>
      </w:r>
      <w:r>
        <w:rPr>
          <w:rFonts w:hint="eastAsia" w:ascii="仿宋" w:hAnsi="仿宋" w:eastAsia="仿宋"/>
          <w:b/>
          <w:bCs/>
          <w:sz w:val="24"/>
          <w:szCs w:val="24"/>
        </w:rPr>
        <w:t>智慧课程建设及教学改革创新的措施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2"/>
      </w:tblGrid>
      <w:tr w14:paraId="3B19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9" w:hRule="atLeast"/>
        </w:trPr>
        <w:tc>
          <w:tcPr>
            <w:tcW w:w="8442" w:type="dxa"/>
          </w:tcPr>
          <w:p w14:paraId="1F77342B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（详细阐述教学理念、课程目标、课程内容、平台工具、教学过程、评价方案等。3000字左右，可配适量图表。）</w:t>
            </w:r>
          </w:p>
        </w:tc>
      </w:tr>
    </w:tbl>
    <w:p w14:paraId="4ED183F6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sz w:val="24"/>
          <w:szCs w:val="24"/>
        </w:rPr>
      </w:pPr>
    </w:p>
    <w:p w14:paraId="56C06668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三</w:t>
      </w:r>
      <w:r>
        <w:rPr>
          <w:rFonts w:ascii="仿宋" w:hAnsi="仿宋" w:eastAsia="仿宋"/>
          <w:b/>
          <w:bCs/>
          <w:sz w:val="24"/>
          <w:szCs w:val="24"/>
        </w:rPr>
        <w:t>、</w:t>
      </w:r>
      <w:r>
        <w:rPr>
          <w:rFonts w:hint="eastAsia" w:ascii="仿宋" w:hAnsi="仿宋" w:eastAsia="仿宋"/>
          <w:b/>
          <w:bCs/>
          <w:sz w:val="24"/>
          <w:szCs w:val="24"/>
        </w:rPr>
        <w:t>智慧教学改革创新的成效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2"/>
      </w:tblGrid>
      <w:tr w14:paraId="71F1B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4" w:hRule="atLeast"/>
        </w:trPr>
        <w:tc>
          <w:tcPr>
            <w:tcW w:w="8442" w:type="dxa"/>
          </w:tcPr>
          <w:p w14:paraId="2E258F28">
            <w:pPr>
              <w:spacing w:before="100" w:beforeAutospacing="1" w:after="100" w:afterAutospacing="1" w:line="360" w:lineRule="auto"/>
              <w:contextualSpacing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（聚焦目标达成，描述参赛课程开展智慧教学改革的成效。800字左右，可配图表）</w:t>
            </w:r>
          </w:p>
        </w:tc>
      </w:tr>
    </w:tbl>
    <w:p w14:paraId="60005C21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sz w:val="24"/>
          <w:szCs w:val="24"/>
        </w:rPr>
      </w:pPr>
    </w:p>
    <w:p w14:paraId="68ED7B23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</w:rPr>
        <w:sectPr>
          <w:footerReference r:id="rId5" w:type="default"/>
          <w:pgSz w:w="11910" w:h="16840"/>
          <w:pgMar w:top="1431" w:right="1723" w:bottom="2078" w:left="1735" w:header="0" w:footer="1939" w:gutter="0"/>
          <w:cols w:space="720" w:num="1"/>
        </w:sectPr>
      </w:pPr>
    </w:p>
    <w:p w14:paraId="76177756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ascii="仿宋" w:hAnsi="仿宋" w:eastAsia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/>
          <w:b/>
          <w:bCs/>
          <w:sz w:val="24"/>
          <w:szCs w:val="24"/>
        </w:rPr>
        <w:t>4</w:t>
      </w:r>
    </w:p>
    <w:p w14:paraId="29DF0EAA">
      <w:pPr>
        <w:spacing w:before="100" w:beforeAutospacing="1" w:after="100" w:afterAutospacing="1" w:line="360" w:lineRule="auto"/>
        <w:contextualSpacing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教学设计样例模板</w:t>
      </w:r>
    </w:p>
    <w:tbl>
      <w:tblPr>
        <w:tblStyle w:val="7"/>
        <w:tblW w:w="8431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48"/>
        <w:gridCol w:w="1134"/>
        <w:gridCol w:w="850"/>
        <w:gridCol w:w="425"/>
        <w:gridCol w:w="1418"/>
        <w:gridCol w:w="1276"/>
      </w:tblGrid>
      <w:tr w14:paraId="60C9B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0" w:type="dxa"/>
            <w:vAlign w:val="center"/>
          </w:tcPr>
          <w:p w14:paraId="7D4A214A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课程</w:t>
            </w:r>
          </w:p>
        </w:tc>
        <w:tc>
          <w:tcPr>
            <w:tcW w:w="3382" w:type="dxa"/>
            <w:gridSpan w:val="2"/>
            <w:vAlign w:val="center"/>
          </w:tcPr>
          <w:p w14:paraId="1FEC0840">
            <w:pPr>
              <w:ind w:right="-109" w:rightChars="-52"/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</w:tc>
        <w:tc>
          <w:tcPr>
            <w:tcW w:w="1275" w:type="dxa"/>
            <w:gridSpan w:val="2"/>
            <w:vAlign w:val="center"/>
          </w:tcPr>
          <w:p w14:paraId="3D05362C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授课时长</w:t>
            </w:r>
          </w:p>
        </w:tc>
        <w:tc>
          <w:tcPr>
            <w:tcW w:w="2694" w:type="dxa"/>
            <w:gridSpan w:val="2"/>
            <w:vAlign w:val="center"/>
          </w:tcPr>
          <w:p w14:paraId="0BFC154C">
            <w:pPr>
              <w:ind w:right="-109" w:rightChars="-52" w:firstLine="210" w:firstLineChars="100"/>
              <w:rPr>
                <w:rFonts w:hint="eastAsia" w:ascii="仿宋" w:hAnsi="仿宋" w:eastAsia="仿宋" w:cs="宋体"/>
                <w:bCs/>
              </w:rPr>
            </w:pPr>
            <w:r>
              <w:rPr>
                <w:rFonts w:ascii="仿宋" w:hAnsi="仿宋" w:eastAsia="仿宋" w:cs="宋体"/>
                <w:bCs/>
              </w:rPr>
              <w:t xml:space="preserve"> </w:t>
            </w:r>
          </w:p>
        </w:tc>
      </w:tr>
      <w:tr w14:paraId="19D5C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080" w:type="dxa"/>
            <w:vAlign w:val="center"/>
          </w:tcPr>
          <w:p w14:paraId="35ECF290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节次标题及学时</w:t>
            </w:r>
          </w:p>
        </w:tc>
        <w:tc>
          <w:tcPr>
            <w:tcW w:w="3382" w:type="dxa"/>
            <w:gridSpan w:val="2"/>
            <w:vAlign w:val="center"/>
          </w:tcPr>
          <w:p w14:paraId="5E224186">
            <w:pPr>
              <w:ind w:right="-109" w:rightChars="-52"/>
              <w:jc w:val="center"/>
              <w:rPr>
                <w:rFonts w:hint="eastAsia" w:ascii="仿宋" w:hAnsi="仿宋" w:eastAsia="仿宋" w:cs="宋体"/>
                <w:bCs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33888E5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专业班级</w:t>
            </w:r>
          </w:p>
        </w:tc>
        <w:tc>
          <w:tcPr>
            <w:tcW w:w="2694" w:type="dxa"/>
            <w:gridSpan w:val="2"/>
            <w:vAlign w:val="center"/>
          </w:tcPr>
          <w:p w14:paraId="0AE8A385">
            <w:pPr>
              <w:ind w:right="-109" w:rightChars="-52" w:firstLine="210" w:firstLineChars="100"/>
              <w:rPr>
                <w:rFonts w:hint="eastAsia" w:ascii="仿宋" w:hAnsi="仿宋" w:eastAsia="仿宋" w:cs="宋体"/>
                <w:bCs/>
              </w:rPr>
            </w:pPr>
          </w:p>
        </w:tc>
      </w:tr>
      <w:tr w14:paraId="7295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atLeast"/>
        </w:trPr>
        <w:tc>
          <w:tcPr>
            <w:tcW w:w="1080" w:type="dxa"/>
            <w:vAlign w:val="center"/>
          </w:tcPr>
          <w:p w14:paraId="3A77E61A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教学内容分析</w:t>
            </w:r>
          </w:p>
        </w:tc>
        <w:tc>
          <w:tcPr>
            <w:tcW w:w="7351" w:type="dxa"/>
            <w:gridSpan w:val="6"/>
            <w:vAlign w:val="center"/>
          </w:tcPr>
          <w:p w14:paraId="24C3475E">
            <w:pPr>
              <w:ind w:firstLine="420" w:firstLineChars="200"/>
              <w:rPr>
                <w:rFonts w:hint="eastAsia" w:ascii="仿宋" w:hAnsi="仿宋" w:eastAsia="仿宋" w:cs="宋体"/>
                <w:bCs/>
                <w:spacing w:val="-10"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</w:tc>
      </w:tr>
      <w:tr w14:paraId="51E20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080" w:type="dxa"/>
            <w:vAlign w:val="center"/>
          </w:tcPr>
          <w:p w14:paraId="71F772D3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学情分析</w:t>
            </w:r>
          </w:p>
        </w:tc>
        <w:tc>
          <w:tcPr>
            <w:tcW w:w="7351" w:type="dxa"/>
            <w:gridSpan w:val="6"/>
            <w:vAlign w:val="center"/>
          </w:tcPr>
          <w:p w14:paraId="3CFD0628">
            <w:pPr>
              <w:widowControl w:val="0"/>
              <w:spacing w:line="400" w:lineRule="exact"/>
              <w:jc w:val="both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</w:tc>
      </w:tr>
      <w:tr w14:paraId="7F7F1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080" w:type="dxa"/>
            <w:vAlign w:val="center"/>
          </w:tcPr>
          <w:p w14:paraId="688B2BA1">
            <w:pPr>
              <w:jc w:val="center"/>
              <w:rPr>
                <w:rFonts w:hint="eastAsia" w:ascii="仿宋" w:hAnsi="仿宋" w:eastAsia="仿宋" w:cs="宋体"/>
                <w:bCs/>
              </w:rPr>
            </w:pPr>
          </w:p>
          <w:p w14:paraId="3E15A278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教学目标</w:t>
            </w:r>
          </w:p>
          <w:p w14:paraId="5F06AD68">
            <w:pPr>
              <w:jc w:val="center"/>
              <w:rPr>
                <w:rFonts w:hint="eastAsia" w:ascii="仿宋" w:hAnsi="仿宋" w:eastAsia="仿宋" w:cs="宋体"/>
                <w:bCs/>
              </w:rPr>
            </w:pPr>
          </w:p>
        </w:tc>
        <w:tc>
          <w:tcPr>
            <w:tcW w:w="7351" w:type="dxa"/>
            <w:gridSpan w:val="6"/>
            <w:vAlign w:val="center"/>
          </w:tcPr>
          <w:p w14:paraId="1E376A7E">
            <w:pPr>
              <w:spacing w:line="440" w:lineRule="exact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  <w:p w14:paraId="4EFD12FA">
            <w:pPr>
              <w:spacing w:line="440" w:lineRule="exact"/>
              <w:rPr>
                <w:rFonts w:hint="eastAsia" w:ascii="仿宋" w:hAnsi="仿宋" w:eastAsia="仿宋" w:cs="宋体"/>
                <w:bCs/>
              </w:rPr>
            </w:pPr>
          </w:p>
          <w:p w14:paraId="5DCDEB4B">
            <w:pPr>
              <w:spacing w:line="440" w:lineRule="exact"/>
              <w:rPr>
                <w:rFonts w:hint="eastAsia" w:ascii="仿宋" w:hAnsi="仿宋" w:eastAsia="仿宋" w:cs="宋体"/>
                <w:bCs/>
              </w:rPr>
            </w:pPr>
          </w:p>
          <w:p w14:paraId="3FC87A5B">
            <w:pPr>
              <w:spacing w:line="440" w:lineRule="exact"/>
              <w:rPr>
                <w:rFonts w:hint="eastAsia" w:ascii="仿宋" w:hAnsi="仿宋" w:eastAsia="仿宋" w:cs="宋体"/>
                <w:bCs/>
              </w:rPr>
            </w:pPr>
          </w:p>
          <w:p w14:paraId="090AD44C">
            <w:pPr>
              <w:spacing w:line="440" w:lineRule="exact"/>
              <w:rPr>
                <w:rFonts w:hint="eastAsia" w:ascii="仿宋" w:hAnsi="仿宋" w:eastAsia="仿宋" w:cs="宋体"/>
                <w:bCs/>
              </w:rPr>
            </w:pPr>
          </w:p>
        </w:tc>
      </w:tr>
      <w:tr w14:paraId="18653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1080" w:type="dxa"/>
            <w:vAlign w:val="center"/>
          </w:tcPr>
          <w:p w14:paraId="49789596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教学重点</w:t>
            </w:r>
          </w:p>
        </w:tc>
        <w:tc>
          <w:tcPr>
            <w:tcW w:w="7351" w:type="dxa"/>
            <w:gridSpan w:val="6"/>
            <w:vAlign w:val="center"/>
          </w:tcPr>
          <w:p w14:paraId="320F84C5">
            <w:pPr>
              <w:rPr>
                <w:rFonts w:hint="eastAsia" w:ascii="仿宋" w:hAnsi="仿宋" w:eastAsia="仿宋" w:cs="宋体"/>
                <w:bCs/>
                <w:spacing w:val="-10"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</w:tc>
      </w:tr>
      <w:tr w14:paraId="59B59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080" w:type="dxa"/>
            <w:vAlign w:val="center"/>
          </w:tcPr>
          <w:p w14:paraId="7DABA316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教学难点</w:t>
            </w:r>
          </w:p>
        </w:tc>
        <w:tc>
          <w:tcPr>
            <w:tcW w:w="7351" w:type="dxa"/>
            <w:gridSpan w:val="6"/>
            <w:vAlign w:val="center"/>
          </w:tcPr>
          <w:p w14:paraId="3C9C7808">
            <w:pPr>
              <w:rPr>
                <w:rFonts w:hint="eastAsia" w:ascii="仿宋" w:hAnsi="仿宋" w:eastAsia="仿宋" w:cs="宋体"/>
                <w:bCs/>
                <w:spacing w:val="-10"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</w:tc>
      </w:tr>
      <w:tr w14:paraId="6F1FC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4" w:hRule="atLeast"/>
        </w:trPr>
        <w:tc>
          <w:tcPr>
            <w:tcW w:w="1080" w:type="dxa"/>
            <w:vAlign w:val="center"/>
          </w:tcPr>
          <w:p w14:paraId="26EB972B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智慧教学环境、资源与技术</w:t>
            </w:r>
          </w:p>
        </w:tc>
        <w:tc>
          <w:tcPr>
            <w:tcW w:w="7351" w:type="dxa"/>
            <w:gridSpan w:val="6"/>
            <w:vAlign w:val="center"/>
          </w:tcPr>
          <w:p w14:paraId="37130126">
            <w:pPr>
              <w:rPr>
                <w:rFonts w:hint="eastAsia" w:ascii="仿宋" w:hAnsi="仿宋" w:eastAsia="仿宋" w:cs="宋体"/>
                <w:bCs/>
              </w:rPr>
            </w:pPr>
          </w:p>
        </w:tc>
      </w:tr>
      <w:tr w14:paraId="00501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080" w:type="dxa"/>
            <w:vAlign w:val="center"/>
          </w:tcPr>
          <w:p w14:paraId="3252DFF9">
            <w:pPr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>教学策略与方法</w:t>
            </w:r>
          </w:p>
        </w:tc>
        <w:tc>
          <w:tcPr>
            <w:tcW w:w="7351" w:type="dxa"/>
            <w:gridSpan w:val="6"/>
            <w:vAlign w:val="center"/>
          </w:tcPr>
          <w:p w14:paraId="30672701">
            <w:pPr>
              <w:jc w:val="both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</w:tc>
      </w:tr>
      <w:tr w14:paraId="342E2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8431" w:type="dxa"/>
            <w:gridSpan w:val="7"/>
            <w:vAlign w:val="center"/>
          </w:tcPr>
          <w:p w14:paraId="1BE17ABC">
            <w:pPr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教学过程</w:t>
            </w:r>
          </w:p>
        </w:tc>
      </w:tr>
      <w:tr w14:paraId="733BA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80" w:type="dxa"/>
            <w:vAlign w:val="center"/>
          </w:tcPr>
          <w:p w14:paraId="6A834122">
            <w:pPr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教学环节</w:t>
            </w:r>
          </w:p>
        </w:tc>
        <w:tc>
          <w:tcPr>
            <w:tcW w:w="2248" w:type="dxa"/>
            <w:vAlign w:val="center"/>
          </w:tcPr>
          <w:p w14:paraId="4866A764">
            <w:pPr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教学设计意图</w:t>
            </w:r>
          </w:p>
        </w:tc>
        <w:tc>
          <w:tcPr>
            <w:tcW w:w="1984" w:type="dxa"/>
            <w:gridSpan w:val="2"/>
            <w:vAlign w:val="center"/>
          </w:tcPr>
          <w:p w14:paraId="253092B4">
            <w:pPr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教师活动</w:t>
            </w:r>
          </w:p>
        </w:tc>
        <w:tc>
          <w:tcPr>
            <w:tcW w:w="1843" w:type="dxa"/>
            <w:gridSpan w:val="2"/>
            <w:vAlign w:val="center"/>
          </w:tcPr>
          <w:p w14:paraId="5378C208">
            <w:pPr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学生活动</w:t>
            </w:r>
          </w:p>
        </w:tc>
        <w:tc>
          <w:tcPr>
            <w:tcW w:w="1276" w:type="dxa"/>
            <w:vAlign w:val="center"/>
          </w:tcPr>
          <w:p w14:paraId="5AB8810D">
            <w:pPr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 xml:space="preserve">数智化技术应用 </w:t>
            </w:r>
          </w:p>
        </w:tc>
      </w:tr>
      <w:tr w14:paraId="40829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1080" w:type="dxa"/>
            <w:vAlign w:val="center"/>
          </w:tcPr>
          <w:p w14:paraId="52CAEC26">
            <w:pPr>
              <w:jc w:val="center"/>
              <w:rPr>
                <w:rFonts w:hint="eastAsia" w:ascii="仿宋" w:hAnsi="仿宋" w:eastAsia="仿宋" w:cs="宋体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Cs/>
                <w:sz w:val="28"/>
                <w:szCs w:val="28"/>
              </w:rPr>
              <w:t xml:space="preserve"> </w:t>
            </w:r>
          </w:p>
          <w:p w14:paraId="4DD245FF">
            <w:pPr>
              <w:jc w:val="center"/>
              <w:rPr>
                <w:rFonts w:hint="eastAsia" w:ascii="仿宋" w:hAnsi="仿宋" w:eastAsia="仿宋" w:cs="宋体"/>
                <w:bCs/>
              </w:rPr>
            </w:pPr>
          </w:p>
        </w:tc>
        <w:tc>
          <w:tcPr>
            <w:tcW w:w="2248" w:type="dxa"/>
          </w:tcPr>
          <w:p w14:paraId="16D41976">
            <w:pPr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/>
                <w:bCs/>
              </w:rPr>
              <w:t xml:space="preserve"> </w:t>
            </w:r>
          </w:p>
        </w:tc>
        <w:tc>
          <w:tcPr>
            <w:tcW w:w="1984" w:type="dxa"/>
            <w:gridSpan w:val="2"/>
          </w:tcPr>
          <w:p w14:paraId="61E184D4">
            <w:pPr>
              <w:ind w:firstLine="420" w:firstLineChars="200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  <w:p w14:paraId="23B1A55D">
            <w:pPr>
              <w:rPr>
                <w:rFonts w:hint="eastAsia" w:ascii="仿宋" w:hAnsi="仿宋" w:eastAsia="仿宋" w:cs="宋体"/>
                <w:bCs/>
              </w:rPr>
            </w:pPr>
          </w:p>
        </w:tc>
        <w:tc>
          <w:tcPr>
            <w:tcW w:w="1843" w:type="dxa"/>
            <w:gridSpan w:val="2"/>
          </w:tcPr>
          <w:p w14:paraId="7121AD49">
            <w:pPr>
              <w:ind w:firstLine="420" w:firstLineChars="200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</w:tc>
        <w:tc>
          <w:tcPr>
            <w:tcW w:w="1276" w:type="dxa"/>
          </w:tcPr>
          <w:p w14:paraId="3401B4D1">
            <w:pPr>
              <w:ind w:firstLine="420" w:firstLineChars="200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</w:tc>
      </w:tr>
      <w:tr w14:paraId="29398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08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C731CA1">
            <w:pPr>
              <w:shd w:val="clear" w:color="auto" w:fill="FFFFFF"/>
              <w:spacing w:line="360" w:lineRule="exact"/>
              <w:ind w:right="74"/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教</w:t>
            </w:r>
          </w:p>
          <w:p w14:paraId="171E4BA5">
            <w:pPr>
              <w:shd w:val="clear" w:color="auto" w:fill="FFFFFF"/>
              <w:spacing w:line="360" w:lineRule="exact"/>
              <w:ind w:right="74"/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学</w:t>
            </w:r>
          </w:p>
          <w:p w14:paraId="0048B5DD">
            <w:pPr>
              <w:shd w:val="clear" w:color="auto" w:fill="FFFFFF"/>
              <w:spacing w:line="360" w:lineRule="exact"/>
              <w:ind w:right="74"/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反</w:t>
            </w:r>
          </w:p>
          <w:p w14:paraId="00758641">
            <w:pPr>
              <w:shd w:val="clear" w:color="auto" w:fill="FFFFFF"/>
              <w:spacing w:line="360" w:lineRule="exact"/>
              <w:ind w:right="74"/>
              <w:jc w:val="center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/>
              </w:rPr>
              <w:t>思</w:t>
            </w:r>
          </w:p>
        </w:tc>
        <w:tc>
          <w:tcPr>
            <w:tcW w:w="735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37AC0A1D">
            <w:pPr>
              <w:ind w:firstLine="420" w:firstLineChars="200"/>
              <w:rPr>
                <w:rFonts w:hint="eastAsia" w:ascii="仿宋" w:hAnsi="仿宋" w:eastAsia="仿宋" w:cs="宋体"/>
                <w:bCs/>
              </w:rPr>
            </w:pPr>
            <w:r>
              <w:rPr>
                <w:rFonts w:hint="eastAsia" w:ascii="仿宋" w:hAnsi="仿宋" w:eastAsia="仿宋" w:cs="宋体"/>
                <w:bCs/>
              </w:rPr>
              <w:t xml:space="preserve"> </w:t>
            </w:r>
          </w:p>
          <w:p w14:paraId="5E0CB99C">
            <w:pPr>
              <w:shd w:val="clear" w:color="auto" w:fill="FFFFFF"/>
              <w:spacing w:line="360" w:lineRule="exact"/>
              <w:ind w:right="74"/>
              <w:rPr>
                <w:rFonts w:hint="eastAsia" w:ascii="仿宋" w:hAnsi="仿宋" w:eastAsia="仿宋" w:cs="宋体"/>
                <w:bCs/>
              </w:rPr>
            </w:pPr>
          </w:p>
        </w:tc>
      </w:tr>
      <w:tr w14:paraId="58D80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</w:trPr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1F2C5B96">
            <w:pPr>
              <w:shd w:val="clear" w:color="auto" w:fill="FFFFFF"/>
              <w:spacing w:line="360" w:lineRule="exact"/>
              <w:ind w:right="74"/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特</w:t>
            </w:r>
          </w:p>
          <w:p w14:paraId="03C251A7">
            <w:pPr>
              <w:shd w:val="clear" w:color="auto" w:fill="FFFFFF"/>
              <w:spacing w:line="360" w:lineRule="exact"/>
              <w:ind w:right="74"/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色</w:t>
            </w:r>
          </w:p>
          <w:p w14:paraId="50C32412">
            <w:pPr>
              <w:shd w:val="clear" w:color="auto" w:fill="FFFFFF"/>
              <w:spacing w:line="360" w:lineRule="exact"/>
              <w:ind w:right="74"/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创</w:t>
            </w:r>
          </w:p>
          <w:p w14:paraId="694BAD6A">
            <w:pPr>
              <w:shd w:val="clear" w:color="auto" w:fill="FFFFFF"/>
              <w:spacing w:line="360" w:lineRule="exact"/>
              <w:ind w:right="74"/>
              <w:jc w:val="center"/>
              <w:rPr>
                <w:rFonts w:hint="eastAsia" w:ascii="仿宋" w:hAnsi="仿宋" w:eastAsia="仿宋" w:cs="宋体"/>
                <w:b/>
              </w:rPr>
            </w:pPr>
            <w:r>
              <w:rPr>
                <w:rFonts w:hint="eastAsia" w:ascii="仿宋" w:hAnsi="仿宋" w:eastAsia="仿宋" w:cs="宋体"/>
                <w:b/>
              </w:rPr>
              <w:t>新</w:t>
            </w:r>
          </w:p>
        </w:tc>
        <w:tc>
          <w:tcPr>
            <w:tcW w:w="7351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14:paraId="1748A469">
            <w:pPr>
              <w:shd w:val="clear" w:color="auto" w:fill="FFFFFF"/>
              <w:spacing w:line="360" w:lineRule="exact"/>
              <w:ind w:right="74" w:firstLine="420" w:firstLineChars="200"/>
              <w:rPr>
                <w:rFonts w:hint="eastAsia" w:ascii="仿宋" w:hAnsi="仿宋" w:eastAsia="仿宋" w:cs="宋体"/>
                <w:bCs/>
              </w:rPr>
            </w:pPr>
          </w:p>
        </w:tc>
      </w:tr>
    </w:tbl>
    <w:p w14:paraId="73C4A8C6">
      <w:pPr>
        <w:shd w:val="clear" w:color="auto" w:fill="FFFFFF"/>
        <w:spacing w:line="360" w:lineRule="exact"/>
        <w:ind w:right="74"/>
        <w:jc w:val="center"/>
        <w:rPr>
          <w:rFonts w:hint="eastAsia" w:ascii="宋体" w:hAnsi="宋体" w:cs="宋体"/>
          <w:bCs/>
        </w:rPr>
      </w:pPr>
    </w:p>
    <w:p w14:paraId="2D3834CC">
      <w:pPr>
        <w:spacing w:before="100" w:beforeAutospacing="1" w:after="100" w:afterAutospacing="1" w:line="360" w:lineRule="auto"/>
        <w:contextualSpacing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34CBAC91">
      <w:pPr>
        <w:spacing w:before="100" w:beforeAutospacing="1" w:after="100" w:afterAutospacing="1" w:line="360" w:lineRule="auto"/>
        <w:contextualSpacing/>
        <w:jc w:val="center"/>
        <w:rPr>
          <w:rFonts w:hint="eastAsia" w:ascii="仿宋" w:hAnsi="仿宋" w:eastAsia="仿宋"/>
          <w:b/>
          <w:bCs/>
          <w:sz w:val="32"/>
          <w:szCs w:val="32"/>
        </w:rPr>
      </w:pPr>
    </w:p>
    <w:p w14:paraId="69B594B9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附件5</w:t>
      </w:r>
    </w:p>
    <w:p w14:paraId="7B239733">
      <w:pPr>
        <w:spacing w:before="100" w:beforeAutospacing="1" w:after="100" w:afterAutospacing="1" w:line="360" w:lineRule="auto"/>
        <w:contextualSpacing/>
        <w:jc w:val="center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说课</w:t>
      </w:r>
      <w:r>
        <w:rPr>
          <w:rFonts w:ascii="仿宋" w:hAnsi="仿宋" w:eastAsia="仿宋"/>
          <w:b/>
          <w:bCs/>
          <w:sz w:val="32"/>
          <w:szCs w:val="32"/>
        </w:rPr>
        <w:t>视频</w:t>
      </w:r>
      <w:r>
        <w:rPr>
          <w:rFonts w:hint="eastAsia" w:ascii="仿宋" w:hAnsi="仿宋" w:eastAsia="仿宋"/>
          <w:b/>
          <w:bCs/>
          <w:sz w:val="32"/>
          <w:szCs w:val="32"/>
        </w:rPr>
        <w:t>与教学设计样例提交</w:t>
      </w:r>
      <w:r>
        <w:rPr>
          <w:rFonts w:ascii="仿宋" w:hAnsi="仿宋" w:eastAsia="仿宋"/>
          <w:b/>
          <w:bCs/>
          <w:sz w:val="32"/>
          <w:szCs w:val="32"/>
        </w:rPr>
        <w:t>标准</w:t>
      </w:r>
    </w:p>
    <w:p w14:paraId="1F6C711F">
      <w:pPr>
        <w:pStyle w:val="1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contextualSpacing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智慧课程说课视频</w:t>
      </w:r>
    </w:p>
    <w:p w14:paraId="1E3C73D4">
      <w:pPr>
        <w:spacing w:before="100" w:beforeAutospacing="1" w:after="100" w:afterAutospacing="1" w:line="360" w:lineRule="auto"/>
        <w:ind w:firstLine="560" w:firstLineChars="200"/>
        <w:contextualSpacing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视频中标注出镜人姓名、单位，课程负责人出镜时间不得少于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分钟。</w:t>
      </w:r>
    </w:p>
    <w:p w14:paraId="10343D06">
      <w:pPr>
        <w:spacing w:before="100" w:beforeAutospacing="1" w:after="100" w:afterAutospacing="1" w:line="360" w:lineRule="auto"/>
        <w:ind w:firstLine="560" w:firstLineChars="200"/>
        <w:contextualSpacing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说课视频时长不超过10分钟，大小不超过1200M，分辨率720P及以上，格式为MP4。图像清晰稳定，声音清楚。</w:t>
      </w:r>
    </w:p>
    <w:p w14:paraId="3F15BAB7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 xml:space="preserve">    </w:t>
      </w:r>
    </w:p>
    <w:p w14:paraId="3FA8C669">
      <w:pPr>
        <w:pStyle w:val="15"/>
        <w:numPr>
          <w:ilvl w:val="0"/>
          <w:numId w:val="1"/>
        </w:numPr>
        <w:spacing w:before="100" w:beforeAutospacing="1" w:after="100" w:afterAutospacing="1" w:line="360" w:lineRule="auto"/>
        <w:ind w:firstLineChars="0"/>
        <w:contextualSpacing/>
        <w:jc w:val="both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智慧课程教学设计样例（一个完整知识单元，2-6学时）</w:t>
      </w:r>
    </w:p>
    <w:p w14:paraId="48D0925F">
      <w:pPr>
        <w:spacing w:before="100" w:beforeAutospacing="1" w:after="100" w:afterAutospacing="1" w:line="360" w:lineRule="auto"/>
        <w:ind w:firstLine="560" w:firstLineChars="200"/>
        <w:contextualSpacing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内容全面、信息丰富，具有较高的可读性。</w:t>
      </w:r>
    </w:p>
    <w:p w14:paraId="048C1364">
      <w:pPr>
        <w:spacing w:before="100" w:beforeAutospacing="1" w:after="100" w:afterAutospacing="1" w:line="360" w:lineRule="auto"/>
        <w:ind w:firstLine="560" w:firstLineChars="200"/>
        <w:contextualSpacing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体现AI赋能的教学模式与方法创新。</w:t>
      </w:r>
    </w:p>
    <w:p w14:paraId="3B4CD674">
      <w:pPr>
        <w:spacing w:before="100" w:beforeAutospacing="1" w:after="100" w:afterAutospacing="1" w:line="360" w:lineRule="auto"/>
        <w:ind w:firstLine="560" w:firstLineChars="200"/>
        <w:contextualSpacing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可图文结合。图片不超过10张。</w:t>
      </w:r>
    </w:p>
    <w:p w14:paraId="0DCBFA48">
      <w:pPr>
        <w:spacing w:before="100" w:beforeAutospacing="1" w:after="100" w:afterAutospacing="1" w:line="360" w:lineRule="auto"/>
        <w:contextualSpacing/>
        <w:rPr>
          <w:rFonts w:hint="eastAsia" w:ascii="仿宋" w:hAnsi="仿宋" w:eastAsia="仿宋"/>
        </w:rPr>
      </w:pPr>
    </w:p>
    <w:sectPr>
      <w:footerReference r:id="rId6" w:type="default"/>
      <w:pgSz w:w="11910" w:h="16840"/>
      <w:pgMar w:top="1431" w:right="1786" w:bottom="2078" w:left="1759" w:header="0" w:footer="1939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A8634">
    <w:pPr>
      <w:spacing w:line="183" w:lineRule="auto"/>
      <w:ind w:left="4524"/>
      <w:rPr>
        <w:rFonts w:hint="eastAsia"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4"/>
        <w:sz w:val="14"/>
        <w:szCs w:val="14"/>
      </w:rPr>
      <w:t>11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360B6C">
    <w:pPr>
      <w:spacing w:line="183" w:lineRule="auto"/>
      <w:ind w:left="4104"/>
      <w:rPr>
        <w:rFonts w:hint="eastAsia"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A03636">
    <w:pPr>
      <w:spacing w:line="183" w:lineRule="auto"/>
      <w:ind w:left="4060"/>
      <w:rPr>
        <w:rFonts w:hint="eastAsia" w:ascii="宋体" w:hAnsi="宋体" w:eastAsia="宋体" w:cs="宋体"/>
        <w:sz w:val="14"/>
        <w:szCs w:val="14"/>
      </w:rPr>
    </w:pPr>
    <w:r>
      <w:rPr>
        <w:rFonts w:ascii="宋体" w:hAnsi="宋体" w:eastAsia="宋体" w:cs="宋体"/>
        <w:spacing w:val="-2"/>
        <w:sz w:val="14"/>
        <w:szCs w:val="14"/>
      </w:rPr>
      <w:t>21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9D8843">
    <w:pPr>
      <w:pStyle w:val="5"/>
    </w:pPr>
    <w:r>
      <w:rPr>
        <w:rFonts w:hint="eastAsia"/>
        <w:b/>
        <w:bCs/>
        <w:snapToGrid/>
        <w:sz w:val="36"/>
        <w:szCs w:val="3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4858385</wp:posOffset>
          </wp:positionH>
          <wp:positionV relativeFrom="paragraph">
            <wp:posOffset>129540</wp:posOffset>
          </wp:positionV>
          <wp:extent cx="857885" cy="391160"/>
          <wp:effectExtent l="0" t="0" r="0" b="0"/>
          <wp:wrapThrough wrapText="bothSides">
            <wp:wrapPolygon>
              <wp:start x="2398" y="2104"/>
              <wp:lineTo x="2398" y="18935"/>
              <wp:lineTo x="12950" y="18935"/>
              <wp:lineTo x="17747" y="16831"/>
              <wp:lineTo x="17747" y="4208"/>
              <wp:lineTo x="12471" y="2104"/>
              <wp:lineTo x="2398" y="2104"/>
            </wp:wrapPolygon>
          </wp:wrapThrough>
          <wp:docPr id="4097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8063" cy="3914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napToGrid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155575</wp:posOffset>
          </wp:positionV>
          <wp:extent cx="1948815" cy="428625"/>
          <wp:effectExtent l="0" t="0" r="0" b="9525"/>
          <wp:wrapTight wrapText="bothSides">
            <wp:wrapPolygon>
              <wp:start x="0" y="0"/>
              <wp:lineTo x="0" y="21120"/>
              <wp:lineTo x="21326" y="21120"/>
              <wp:lineTo x="21326" y="0"/>
              <wp:lineTo x="0" y="0"/>
            </wp:wrapPolygon>
          </wp:wrapTight>
          <wp:docPr id="4098" name="图片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1"/>
                  <pic:cNvPicPr/>
                </pic:nvPicPr>
                <pic:blipFill>
                  <a:blip r:embed="rId2" cstate="print"/>
                  <a:srcRect l="9325" t="36058" r="9827" b="32250"/>
                  <a:stretch>
                    <a:fillRect/>
                  </a:stretch>
                </pic:blipFill>
                <pic:spPr>
                  <a:xfrm>
                    <a:off x="0" y="0"/>
                    <a:ext cx="1948814" cy="4286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b/>
        <w:bCs/>
        <w:snapToGrid/>
        <w:sz w:val="36"/>
        <w:szCs w:val="3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4516120</wp:posOffset>
          </wp:positionH>
          <wp:positionV relativeFrom="paragraph">
            <wp:posOffset>143510</wp:posOffset>
          </wp:positionV>
          <wp:extent cx="356235" cy="337820"/>
          <wp:effectExtent l="0" t="0" r="6350" b="5080"/>
          <wp:wrapTight wrapText="bothSides">
            <wp:wrapPolygon>
              <wp:start x="0" y="0"/>
              <wp:lineTo x="0" y="20707"/>
              <wp:lineTo x="20829" y="20707"/>
              <wp:lineTo x="20829" y="0"/>
              <wp:lineTo x="0" y="0"/>
            </wp:wrapPolygon>
          </wp:wrapTight>
          <wp:docPr id="4099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2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>
                  <a:xfrm flipV="1">
                    <a:off x="0" y="0"/>
                    <a:ext cx="356029" cy="3380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2" w:hanging="440"/>
      </w:pPr>
    </w:lvl>
    <w:lvl w:ilvl="2" w:tentative="0">
      <w:start w:val="1"/>
      <w:numFmt w:val="lowerRoman"/>
      <w:lvlText w:val="%3."/>
      <w:lvlJc w:val="right"/>
      <w:pPr>
        <w:ind w:left="1882" w:hanging="440"/>
      </w:pPr>
    </w:lvl>
    <w:lvl w:ilvl="3" w:tentative="0">
      <w:start w:val="1"/>
      <w:numFmt w:val="decimal"/>
      <w:lvlText w:val="%4."/>
      <w:lvlJc w:val="left"/>
      <w:pPr>
        <w:ind w:left="2322" w:hanging="440"/>
      </w:pPr>
    </w:lvl>
    <w:lvl w:ilvl="4" w:tentative="0">
      <w:start w:val="1"/>
      <w:numFmt w:val="lowerLetter"/>
      <w:lvlText w:val="%5)"/>
      <w:lvlJc w:val="left"/>
      <w:pPr>
        <w:ind w:left="2762" w:hanging="440"/>
      </w:pPr>
    </w:lvl>
    <w:lvl w:ilvl="5" w:tentative="0">
      <w:start w:val="1"/>
      <w:numFmt w:val="lowerRoman"/>
      <w:lvlText w:val="%6."/>
      <w:lvlJc w:val="right"/>
      <w:pPr>
        <w:ind w:left="3202" w:hanging="440"/>
      </w:pPr>
    </w:lvl>
    <w:lvl w:ilvl="6" w:tentative="0">
      <w:start w:val="1"/>
      <w:numFmt w:val="decimal"/>
      <w:lvlText w:val="%7."/>
      <w:lvlJc w:val="left"/>
      <w:pPr>
        <w:ind w:left="3642" w:hanging="440"/>
      </w:pPr>
    </w:lvl>
    <w:lvl w:ilvl="7" w:tentative="0">
      <w:start w:val="1"/>
      <w:numFmt w:val="lowerLetter"/>
      <w:lvlText w:val="%8)"/>
      <w:lvlJc w:val="left"/>
      <w:pPr>
        <w:ind w:left="4082" w:hanging="440"/>
      </w:pPr>
    </w:lvl>
    <w:lvl w:ilvl="8" w:tentative="0">
      <w:start w:val="1"/>
      <w:numFmt w:val="lowerRoman"/>
      <w:lvlText w:val="%9."/>
      <w:lvlJc w:val="right"/>
      <w:pPr>
        <w:ind w:left="4522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noPunctuationKerning w:val="1"/>
  <w:characterSpacingControl w:val="doNotCompress"/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062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uiPriority w:val="0"/>
  </w:style>
  <w:style w:type="paragraph" w:styleId="3">
    <w:name w:val="Body Text"/>
    <w:basedOn w:val="1"/>
    <w:link w:val="17"/>
    <w:qFormat/>
    <w:uiPriority w:val="0"/>
    <w:pPr>
      <w:spacing w:after="160" w:line="278" w:lineRule="auto"/>
    </w:pPr>
    <w:rPr>
      <w:rFonts w:ascii="仿宋" w:hAnsi="仿宋" w:eastAsia="仿宋" w:cs="仿宋"/>
      <w:sz w:val="24"/>
      <w:szCs w:val="24"/>
      <w:lang w:eastAsia="en-US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rPr>
      <w:rFonts w:ascii="Times New Roman" w:hAnsi="Times New Roman" w:cs="Times New Roman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annotation reference"/>
    <w:basedOn w:val="9"/>
    <w:uiPriority w:val="0"/>
    <w:rPr>
      <w:sz w:val="21"/>
      <w:szCs w:val="21"/>
    </w:rPr>
  </w:style>
  <w:style w:type="table" w:customStyle="1" w:styleId="12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3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Revision"/>
    <w:uiPriority w:val="99"/>
    <w:rPr>
      <w:rFonts w:ascii="Arial" w:hAnsi="Arial" w:eastAsia="等线" w:cs="Arial"/>
      <w:snapToGrid w:val="0"/>
      <w:color w:val="000000"/>
      <w:sz w:val="21"/>
      <w:szCs w:val="21"/>
      <w:lang w:val="en-US" w:eastAsia="zh-CN" w:bidi="ar-SA"/>
    </w:rPr>
  </w:style>
  <w:style w:type="character" w:customStyle="1" w:styleId="17">
    <w:name w:val="正文文本 字符"/>
    <w:basedOn w:val="9"/>
    <w:link w:val="3"/>
    <w:uiPriority w:val="0"/>
    <w:rPr>
      <w:rFonts w:ascii="仿宋" w:hAnsi="仿宋" w:eastAsia="仿宋" w:cs="仿宋"/>
      <w:snapToGrid w:val="0"/>
      <w:color w:val="000000"/>
      <w:sz w:val="24"/>
      <w:szCs w:val="24"/>
      <w:lang w:eastAsia="en-US"/>
    </w:rPr>
  </w:style>
  <w:style w:type="character" w:customStyle="1" w:styleId="18">
    <w:name w:val="批注文字 字符"/>
    <w:basedOn w:val="9"/>
    <w:link w:val="2"/>
    <w:qFormat/>
    <w:uiPriority w:val="0"/>
    <w:rPr>
      <w:rFonts w:ascii="Arial" w:hAnsi="Arial" w:eastAsia="等线" w:cs="Arial"/>
      <w:snapToGrid w:val="0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7EB88-E805-488B-BBC3-3DB2120478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3658</Words>
  <Characters>3838</Characters>
  <Paragraphs>330</Paragraphs>
  <TotalTime>3</TotalTime>
  <ScaleCrop>false</ScaleCrop>
  <LinksUpToDate>false</LinksUpToDate>
  <CharactersWithSpaces>3883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2025-01-10T08:18:00Z</dcterms:created>
  <dc:creator>Kingsoft-PDF</dc:creator>
  <cp:keywords>63626b4f2ba2c400154b5ddf</cp:keywords>
  <cp:lastModifiedBy>嘉嘉</cp:lastModifiedBy>
  <dcterms:modified xsi:type="dcterms:W3CDTF">2025-01-17T08:03:20Z</dcterms:modified>
  <dc:subject>pdfbuilder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2022-11-02T21:06:38Z</vt:filetime>
  </property>
  <property fmtid="{D5CDD505-2E9C-101B-9397-08002B2CF9AE}" pid="4" name="ICV">
    <vt:lpwstr>12FEDE1CDB4248C098C297CE617E0083_13</vt:lpwstr>
  </property>
  <property fmtid="{D5CDD505-2E9C-101B-9397-08002B2CF9AE}" pid="5" name="KSOProductBuildVer">
    <vt:lpwstr>2052-12.1.0.19770</vt:lpwstr>
  </property>
  <property fmtid="{D5CDD505-2E9C-101B-9397-08002B2CF9AE}" pid="6" name="KSOTemplateDocerSaveRecord">
    <vt:lpwstr>eyJoZGlkIjoiMDNjOGJlZjViN2RkOGVkNGIyOGEwMGVkY2QwNjdlMjYiLCJ1c2VySWQiOiIyMzkzNDgxMTYifQ==</vt:lpwstr>
  </property>
</Properties>
</file>